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ATAS/1029/2022 vom 24. November 2022</w:t>
      </w:r>
    </w:p>
    <w:p>
      <w:r>
        <w:t>GE Cour de justice, 2022-11-24, FR</w:t>
      </w:r>
    </w:p>
    <w:p>
      <w:r>
        <w:rPr>
          <w:b/>
        </w:rPr>
        <w:t xml:space="preserve">Quelle: </w:t>
      </w:r>
      <w:r>
        <w:t>https://mcp.opencaselaw.ch/entscheid/ge_gerichte_ATAS_1029_2022</w:t>
      </w:r>
    </w:p>
    <w:p>
      <w:r>
        <w:t>FR: GE_GERICHTE ATAS/1029/2022 du 24 novembre 2022</w:t>
      </w:r>
    </w:p>
    <w:p>
      <w:r>
        <w:t>IT: GE_GERICHTE ATAS/1029/2022 del 24 novembre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requis par la loi, le recours est recevable (art. 56ss LPGA).</w:t>
      </w:r>
    </w:p>
    <w:p>
      <w:r>
        <w:rPr>
          <w:b/>
        </w:rPr>
        <w:t>E. 3</w:t>
      </w:r>
    </w:p>
    <w:p>
      <w:r>
        <w:t>À titre préalable, la chambre de céans constate qu’en dépit de sa position exposée dans sa décision du 26 novembre 2021 intitulée « rectification de l’opposition », UNIA est entrée en matière sur l’opposition du 8 décembre 2020, qui n’a – à teneur du dossier - pas été complétée par l’assuré, dans le délai fixé par l’intimée. L'objet du litige a fait l’objet de diverses interprétations de la part des autorités qui se sont penchées sur l’opposition de l’assuré du 8 décembre 2020. Dans un premier temps, ladite opposition a été considérée par UNIA comme une demande de remise de l’obligation de rembourser et non pas comme une contestation de la demande de remboursement (ce qui, par ailleurs, semblait ressortir d’une interprétation littérale du texte de l’opposition de l’assuré). Après avoir été adressée par UNIA à l’OCE, cette autorité a instruit le cas puis a considéré qu’il s’agissait d’une opposition à la demande de remboursement et non pas d’une demande de remise de l’obligation de rembourser et a renvoyé la cause à UNIA pour traiter l’opposition de l’assuré à la demande de remboursement. Les dernières écritures de l’assuré confirment que ce dernier remet en cause son obligation de rembourser UNIA. Il sied de rappeler que la remise et son étendue font l'objet d'une procédure distincte de la restitution. En effet, la question de la remise ne peut être examinée qu'à partir du moment où la décision de restitution est entrée en force (cf. art. 4 al. 2 de l'ordonnance sur la partie générale du droit des assurances sociales du 11 septembre 2002 [OPGA - RS 830.11] ; arrêts du Tribunal fédéral 8C_589/2016 du 26 avril 2017 consid. 3.1 ; 8C_130/2008 du 11 juillet 2008 consid. 2.2 et 8C_602/2007 du 13 décembre 2007 consid. 3). Aussi bien UNIA que l’OCE et l’assuré semblent être d’accord sur la signification de l’opposition de ce dernier, soit une opposition à l’obligation de rembourser le montant réclamé par UNIA et non pas une demande de remise de l’obligation de rembourser.</w:t>
      </w:r>
    </w:p>
    <w:p>
      <w:r>
        <w:t>A/391/2022 - 8/13 - La chambre de céans considèrera que l’objet du présent litige est bien la demande de remboursement du montant de CHF 1'481.45 résultant de la décision sur opposition d'UNIA du 29 décembre 2021, confirmant sa décision du 16 octobre 2020 et écartant l’opposition de l’assuré du 8 décembre 2020.</w:t>
      </w:r>
    </w:p>
    <w:p>
      <w:r>
        <w:rPr>
          <w:b/>
        </w:rPr>
        <w:t>E. 4</w:t>
      </w:r>
    </w:p>
    <w:p>
      <w:r>
        <w:t>; THOMAS NUSSBAUMER, Arbeitslosenversicherung, in : Schweizerisches Bundesverwaltungsrecht, Soziale Sicherheit, 3ème éd. 2016, p. 2395 n. 437 ; BORIS RUBIN, Commentaire de la loi sur l'assurance-chômage, 2014, n° 8 ad art. 28 LACI ; KIESER, op. cit., p. 221 ch. 2 et p. 227 ch. 2).</w:t>
      </w:r>
    </w:p>
    <w:p>
      <w:r>
        <w:rPr>
          <w:b/>
        </w:rPr>
        <w:t>E. 4.1</w:t>
      </w:r>
    </w:p>
    <w:p>
      <w:r>
        <w:t>L'art. 28 LACI régit « l’indemnité journalière [de chômage] en cas d'incapacité passagère de travail, totale ou partielle ». Il énonce notamment ce qui suit : «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(al. 1). Les indemnités journalières de l’assurance-maladie ou de l’assurance- accidents qui représentent une compensation de la perte de gain sont déduites de l’indemnité de chômage (al. 2). 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(al. 4) : à la pleine indemnité journalière s’ils sont aptes au travail à raison de 75 % au moins (let. a) ; à une indemnité journalière réduite de 50 % s’ils le sont à raison de 50 % au moins (let. b) ».</w:t>
      </w:r>
    </w:p>
    <w:p>
      <w:r>
        <w:rPr>
          <w:b/>
        </w:rPr>
        <w:t>E. 4.2</w:t>
      </w:r>
    </w:p>
    <w:p>
      <w:r>
        <w:t>Cette disposition coordonne l'assurance-chômage et les assurances perte de gain pour cause de maladie ou d'accident. Elle repose sur la prémisse que ces assurances-ci ne prenaient autrefois effet qu'au 31ème jour d'incapacité. Aussi le législateur a-t-il voulu combler une lacune en prévoyant, à l'al. 1, une prise en charge par l'assurance-chômage durant les trente premiers jours d'incapacité de travail. Cette obligation de prestation est toutefois subsidiaire à l'assurance perte de gain, comme l'exprime l'art. 28 al. 2 LACI, qui est destiné à éviter la surindemnisation (ATF 144 III 136 consid. 4.2 et les références citées). Lorsque la personne assurée était déjà inapte ou partiellement apte au travail et au placement en raison de maladie, d’accident ou de grossesse avant de tomber au chômage, le délai de trente jours commence à courir à partir du moment où elle remplit toutes les conditions ouvrant droit à l'indemnité hormis l’aptitude au placement (Bulletin LACI, Indemnité de chômage (IC), état au 1er janvier 2022, n° C168).</w:t>
      </w:r>
    </w:p>
    <w:p>
      <w:r>
        <w:rPr>
          <w:b/>
        </w:rPr>
        <w:t>E. 4.3</w:t>
      </w:r>
    </w:p>
    <w:p>
      <w:r>
        <w:t>La jurisprudence a précisé que par « indemnités journalières de l'assurance maladie » au sens de l'art. 28 al. 2 LACI, il fallait entendre aussi bien les indemnités de l'assurance-maladie sociale facultative régie par les art. 67 ss de la loi fédérale sur l'assurance-maladie du 18 mars 1994 (LAMal - RS 832.10) que celles d'assurances complémentaires soumises à la loi fédérale sur le contrat</w:t>
      </w:r>
    </w:p>
    <w:p>
      <w:r>
        <w:t>A/391/2022 - 9/13 - d'assurance du 2 avril 1908 (loi sur le contrat d’assurance, LCA - RS 221.229.1) (ATF 128 V 176 consid. 5 ; arrêt précité C 303/02 consid. 4.1 ; cf. aussi ATF 142 V 448 consid. 4.2 ; ATF 144 III 136 consid. 4.2 ; arrêt 4A_111/2010 du 12 juillet 2010 consid.</w:t>
      </w:r>
    </w:p>
    <w:p>
      <w:r>
        <w:rPr>
          <w:b/>
        </w:rPr>
        <w:t>E. 4.4</w:t>
      </w:r>
    </w:p>
    <w:p>
      <w:r>
        <w:t>Selon l’art. 95 al. 1bis LACI,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l’assurance-accidents obligatoire, de l’assurance-maladie ou des allocations familiales légales, est tenu de rembourser les indemnités journalières versées par l’assurance-chômage au cours de cette période. En dérogation à l’art. 25 al. 1 LPGA, la somme à restituer se limite à la somme des prestations versées pour la même période par ces institutions.</w:t>
      </w:r>
    </w:p>
    <w:p>
      <w:r>
        <w:rPr>
          <w:b/>
        </w:rPr>
        <w:t>E. 5.1</w:t>
      </w:r>
    </w:p>
    <w:p>
      <w:r>
        <w:t>Aux termes de l'art. 25 LPGA, auquel renvoie l'art. 95 al. 1 LACI, les prestations indûment touchées doivent être restituées. La restitution ne peut être exigée lorsque l'intéressé était de bonne foi et qu'elle le mettrait dans une situation difficile (al. 1). Conformément à l'art. 3 OPGA, l'étendue de l'obligation de restituer est fixée par une décision (al. 1), dans laquelle l'assureur indique la possibilité d'une remise (al. 2). L'art. 25 al. 2 LPGA s’applique dans sa teneur en vigueur depuis le 1er janvier 2021 dans la mesure où la créance n’était pas déjà périmée au moment de l’entrée en vigueur, le 1er janvier 2021, du nouveau droit et où le recours a été déposé postérieurement à cette date (cf. dispositions transitoires de la modification de la LPGA du 21 juin 2019 et arrêt du Tribunal fédéral 9C_774/2007 du 28 août 2008 consid. 3.2). En vertu de cette disposition, le droit de demander la restitution s'éteint trois ans après le moment où l'institution d'assurance a eu connaissance du fait, mais au plus tard cinq ans après le versement de la prestation. On précisera qu’antérieurement au 1er janvier 2021, le délai de péremption relatif prescrit par l’art. 25 al. 2 LPGA était d’une année. Si la créance naît d'un acte punissable pour lequel le droit pénal prévoit un délai de prescription plus long, celui-ci est déterminant.</w:t>
      </w:r>
    </w:p>
    <w:p>
      <w:r>
        <w:rPr>
          <w:b/>
        </w:rPr>
        <w:t>E. 5.2</w:t>
      </w:r>
    </w:p>
    <w:p>
      <w:r>
        <w:t>Les délais de l'art. 25 al. 2 LPGA sont des délais (relatif et absolu) de péremption, qui doivent être examinés d'office (ATF 133 V 579 consid. 4 ; ATF 128 V 10 consid. 1).</w:t>
      </w:r>
    </w:p>
    <w:p>
      <w:r>
        <w:t>A/391/2022 - 10/13 -</w:t>
      </w:r>
    </w:p>
    <w:p>
      <w:r>
        <w:rPr>
          <w:b/>
        </w:rPr>
        <w:t>E. 6</w:t>
      </w:r>
    </w:p>
    <w:p>
      <w:r>
        <w:t>Le délai de péremption relatif de trois ans commence à courir dès le moment où l'administration aurait dû connaître les faits fondant l'obligation de restituer, en faisant preuve de l'attention que l'on pouvait raisonnablement exiger d'elle (ATF 122 V 270 consid. 5a).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arrêts du Tribunal fédéral 8C_968/2012 du 18 novembre 2013 consid. 2.2 ; 8C_719/2008 du 1er avril 2009 consid. 4.1).</w:t>
      </w:r>
    </w:p>
    <w:p>
      <w:r>
        <w:rPr>
          <w:b/>
        </w:rPr>
        <w:t>E. 7</w:t>
      </w:r>
    </w:p>
    <w:p>
      <w:r>
        <w:t>Le destinataire d'une décision de restitution qui entend la contester dispose en réalité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Dans la mesure où la demande de remise ne peut être traitée sur le fond que si la décision de restitution est entrée en force, la remise et son étendue font l'objet d'une procédure distincte (cf. art. 4 al. 2 OPGA ; arrêts du Tribunal fédéral 8C_589/2016 du 26 avril 2017 consid. 3.1 ; 8C_130/2008 du 11 juillet 2008 consid. 2.2 et 8C_602/2007 du 13 décembre 2007 consid. 3). Intrinsèquement, une remise de l'obligation de restituer n'a de sens que pour la personne tenue à restitution (arrêt du Tribunal fédéral 9C_211/2009 du 26 février 2010 consid. 3.1).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9.1</w:t>
      </w:r>
    </w:p>
    <w:p>
      <w:r>
        <w:t>En l’espèce, il est établi que le montant dont UNIA réclame la restitution a été versé au recourant au mois de mars 2020 et représente l’équivalent de 5 des 22 indemnités journalières dues pour le mois en question. Le remboursement du</w:t>
      </w:r>
    </w:p>
    <w:p>
      <w:r>
        <w:t>A/391/2022 - 11/13 - montant correspondant à ces 5 indemnités journalières a été réclamé par UNIA, au mois d’octobre 2020. Le montant a été compensé, dans un premier temps, avec les prestations dues par UNIA au recourant, au mois de novembre 2020, puis le montant compensé a été re-crédité sur le compte du recourant. Compte tenu de ces éléments, la demande de remboursement d’UNIA, intervenue au mois d’octobre 2020, n’est pas prescrite, ni en ce qui concerne le délai relatif, ni en ce qui concerne le délai absolu.</w:t>
      </w:r>
    </w:p>
    <w:p>
      <w:r>
        <w:rPr>
          <w:b/>
        </w:rPr>
        <w:t>E. 9.2</w:t>
      </w:r>
    </w:p>
    <w:p>
      <w:r>
        <w:t>Sur le fond, il est établi, à teneur du décompte de la SUVA daté du 9 septembre 2020, que le recourant a été indemnisé pour la période allant du 13 au 22 mars 2020, soit cinq jours ouvrés (après l’écoulement du délai de carence de trois jours), représentant un montant de CHF 1'481.55 versé sur son compte bancaire ouvert dans les livres de C______ Bank SA. Par ailleurs, le décompte de l’intimée, daté du mois de mars 2020, fait apparaître qu’UNIA – qui au moment du versement ne connaissait pas le montant remboursé par la SUVA au recourant - a versé l’équivalent de vingt-deux jours d’indemnités chômage. Les allégations du recourant selon lesquelles le montant dont le remboursement est demandé n’est pas établi précisément doivent être écartées, dès lors que les documents cités supra permettent, au contraire, d’établir exactement la quotité du montant qui doit être remboursé. Par ailleurs, les décomptes du mois de décembre 2020 font apparaître que le montant réclamé par UNIA a, dans un premier temps, été déduit des indemnités dues pour le mois de novembre 2020, avant d’être re-crédité quelques jours plus tard sur le compte du recourant. Il en ressort que la compensation a ainsi été annulée et que le recourant reste débiteur envers UNIA du montant réclamé. Ces éléments établissent que le recourant a bel et bien perçu le montant de CHF 1'481.45 et qu’il l’a conservé. Il s’ensuit que le recourant a perçu 5 indemnités de trop d’UNIA pour le mois de mars 2020 et qu’en application de l’art. 95 al. 1bis LACI, il doit rembourser le montant correspondant, soit la somme de CHF 1'481.45. L’argumentation du recourant selon laquelle la négligence et le traitement non professionnel du cas par UNIA auraient entraîné des souffrances physiques et/ou morales et causé un dommage pouvant être quantifié n’est pas établie, ni même rendue vraisemblable. Si l’on peut, en effet, constater et déplorer le traitement confus du dossier par l’intimée, il n’en reste pas moins que les erreurs ont été rectifiées au fur et à mesure par UNIA et que l’intervention de l’OCE a permis de clarifier la situation.</w:t>
      </w:r>
    </w:p>
    <w:p>
      <w:r>
        <w:t>A/391/2022 - 12/13 - On précisera encore que le recourant n’a pas requis l’assistance d’un mandataire professionnellement qualifié et que depuis le mois de mars 2020, il a conservé un montant indu ; dès lors, on peine à imaginer qu’il puisse en résulter un dommage. S’agissant enfin des « diffamations » et « injures » dont le recourant aurait été victime, elles ne sont pas de la compétence de la chambre de céans.</w:t>
      </w:r>
    </w:p>
    <w:p>
      <w:r>
        <w:rPr>
          <w:b/>
        </w:rPr>
        <w:t>E. 10</w:t>
      </w:r>
    </w:p>
    <w:p>
      <w:r>
        <w:t>Au vu de ce qui précède, le recours sera rejeté et la décision sur opposition du 29 décembre 2021, ordonnant la restitution par le recourant du montant de CHF 1'481.45 à UNIA, sera confirmée.</w:t>
      </w:r>
    </w:p>
    <w:p>
      <w:r>
        <w:rPr>
          <w:b/>
        </w:rPr>
        <w:t>E. 11</w:t>
      </w:r>
    </w:p>
    <w:p>
      <w:r>
        <w:t>Par ailleurs, il sera rappelé que le recourant a la possibilité, dans les trente jours qui suivent l’entrée en force du présent arrêt, de déposer une demande de remise de son obligation de rembourser auprès de l’OCE et ceci pour autant que les conditions cumulatives de la bonne foi et d’une situation (financière) difficile soient réunies (art. 4 OPGA). Il est pris note qu’UNIA s’est engagée à transmettre directement la demande de remise à l’OCE, dès l’entrée en force du présent arrêt.</w:t>
      </w:r>
    </w:p>
    <w:p>
      <w:r>
        <w:rPr>
          <w:b/>
        </w:rPr>
        <w:t>E. 12</w:t>
      </w:r>
    </w:p>
    <w:p>
      <w:r>
        <w:t>UNIA conclut à l’octroi de dépens. Or, en sa qualité d'institution chargée d'une tâche de droit public et non représentée dans le cas d’espèce, la caisse n'a pas droit à des dépens, sauf en cas de recours téméraire ou interjeté à la légère par l'assuré (ATF 126 V 143 consid. 4b ; ATAS/1052/2020 du 29 octobre 2020 consid. 12), ce qui n’est pas le cas en l’occurrence.</w:t>
      </w:r>
    </w:p>
    <w:p>
      <w:r>
        <w:rPr>
          <w:b/>
        </w:rPr>
        <w:t>E. 13</w:t>
      </w:r>
    </w:p>
    <w:p>
      <w:r>
        <w:t>Pour le surplus, en l’absence de loi spéciale prévoyant des frais judiciaires, la procédure est gratuite (art. 61 let. fbis LPGA en lien avec l’art. 1 al. 1 LACI).</w:t>
      </w:r>
    </w:p>
    <w:p>
      <w:r>
        <w:t>A/391/2022 - 13/13 -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