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ATAS/1029/2013 vom 23. Oktober 2013</w:t>
      </w:r>
    </w:p>
    <w:p>
      <w:r>
        <w:t>GE Cour de justice, 2013-10-23, FR</w:t>
      </w:r>
    </w:p>
    <w:p>
      <w:r>
        <w:rPr>
          <w:b/>
        </w:rPr>
        <w:t xml:space="preserve">Quelle: </w:t>
      </w:r>
      <w:r>
        <w:t>https://mcp.opencaselaw.ch/entscheid/ge_gerichte_ATAS_1029_2013</w:t>
      </w:r>
    </w:p>
    <w:p>
      <w:r>
        <w:t>FR: GE_GERICHTE ATAS/1029/2013 du 23 octobre 2013</w:t>
      </w:r>
    </w:p>
    <w:p>
      <w:r>
        <w:t>IT: GE_GERICHTE ATAS/1029/2013 del 23 ottobre 2013</w:t>
      </w:r>
    </w:p>
    <w:p>
      <w:pPr>
        <w:pStyle w:val="Heading2"/>
      </w:pPr>
      <w:r>
        <w:t>Erwägungen</w:t>
      </w:r>
    </w:p>
    <w:p>
      <w:r>
        <w:rPr>
          <w:b/>
        </w:rPr>
        <w:t>E. 1</w:t>
      </w:r>
    </w:p>
    <w:p>
      <w:r>
        <w:t>Conformément à l'art. 134 al. 1 let. a ch. 7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 régime des allocations pour perte de gain en cas de service et de maternité, du 25 septembre 1952 (Loi sur les allocations pour perte de gain, LAPG ; RS 834.1). Sa compétence pour juger du cas d’espèce est ainsi établie.</w:t>
      </w:r>
    </w:p>
    <w:p>
      <w:r>
        <w:rPr>
          <w:b/>
        </w:rPr>
        <w:t>E. 2</w:t>
      </w:r>
    </w:p>
    <w:p>
      <w:r>
        <w:t>Selon l’art. 1 LAPG, les dispositions de la LPGA s’appliquent au régime des allocations pour perte de gain, à moins que la loi n’y déroge expressément.</w:t>
      </w:r>
    </w:p>
    <w:p>
      <w:r>
        <w:rPr>
          <w:b/>
        </w:rPr>
        <w:t>E. 3</w:t>
      </w:r>
    </w:p>
    <w:p>
      <w:r>
        <w:t>Interjeté dans le délai et la forme prévus par la loi, le recours est recevable (art. 56 et 60 LPGA ; art. 89B LPA).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5</w:t>
      </w:r>
    </w:p>
    <w:p>
      <w:r>
        <w:t>En l’espèce, la Cour de céans constate que l’intimée a rendu une décision de non entrée en matière sur la demande de reconsidération et a rejeté la requête en révision procédurale de la décision du 9 décembre 2011. Or, la décision du 9 décembre 2011, non contestée par le recourant, portait sur la première période de service, du 15 août au 7 octobre 2011.</w:t>
      </w:r>
    </w:p>
    <w:p>
      <w:r>
        <w:t>A/2481/2013 - 5/6 - La demande de réévaluation du recourant, formulée clairement, porte sur la deuxième partie du service, soit du 9 janvier au 10 juillet 2012, compte tenu de l’obtention du Bachelor en février 2012, soit pendant le service civil. C’est par conséquent à tort que l’intimé a considéré cette demande comme une demande de reconsidération et de requête en révision procédurale de sa décision du</w:t>
      </w:r>
    </w:p>
    <w:p>
      <w:r>
        <w:rPr>
          <w:b/>
        </w:rPr>
        <w:t>E. 9</w:t>
      </w:r>
    </w:p>
    <w:p>
      <w:r>
        <w:t>décembre 2011. 6. Les décisions de l’intimée, erronées, doivent ainsi être annulées. Il lui appartiendra de rendre une nouvelle décision portant sur la deuxième partie du service civil, compte tenu des arguments invoqués par le recourant.</w:t>
      </w:r>
    </w:p>
    <w:p>
      <w:r>
        <w:t>A/2481/2013 - 6/6 -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