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ATAS/1027/2023 vom 15. Dezember 2023</w:t>
      </w:r>
    </w:p>
    <w:p>
      <w:r>
        <w:t>GE Cour de justice, 2023-12-15, FR</w:t>
      </w:r>
    </w:p>
    <w:p>
      <w:r>
        <w:rPr>
          <w:b/>
        </w:rPr>
        <w:t xml:space="preserve">Quelle: </w:t>
      </w:r>
      <w:r>
        <w:t>https://mcp.opencaselaw.ch/entscheid/ge_gerichte_ATAS_1027_2023</w:t>
      </w:r>
    </w:p>
    <w:p>
      <w:r>
        <w:t>FR: GE_GERICHTE ATAS/1027/2023 du 15 décembre 2023</w:t>
      </w:r>
    </w:p>
    <w:p>
      <w:r>
        <w:t>IT: GE_GERICHTE ATAS/1027/2023 del 15 dicembre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recours, interjeté dans les forme et délai prévus par la loi (art. 56ss LPGA), est recevable.</w:t>
      </w:r>
    </w:p>
    <w:p>
      <w:r>
        <w:rPr>
          <w:b/>
        </w:rPr>
        <w:t>E. 2</w:t>
      </w:r>
    </w:p>
    <w:p>
      <w:r>
        <w:t>Le litige porte sur le droit du recourant à des prestations pour accident dès le 1er juillet 2022, en particulier sur le point de savoir si son état de santé était stabilisé à cette date et sur son degré d’invalidité. On précisera qu’en matière d’assurance-accidents, la fin des prestations temporaires - soit les indemnités journalières et le droit au traitement - est si étroitement liée aux questions de la rente et de l'indemnité pour atteinte à l'intégrité qu'on peut considérer que ces prestations forment un seul objet du litige (arrêt du Tribunal fédéral 8C_170/2015 du 29 septembre 2015 consid. 4.2). On ne peut scinder en deux objets du litige distincts le droit aux indemnités journalières et aux frais de traitement, d'une part, et le droit à la rente, d'autre part (ATF 144 V 354 consid. 4.2 et 4.3). Le taux de l’indemnité pour atteinte à l'intégrité n’est en revanche pas contesté.</w:t>
      </w:r>
    </w:p>
    <w:p>
      <w:r>
        <w:rPr>
          <w:b/>
        </w:rPr>
        <w:t>E. 3</w:t>
      </w:r>
    </w:p>
    <w:p>
      <w:r>
        <w:t>Les prestations suivantes sont prévues en cas d'accident.</w:t>
      </w:r>
    </w:p>
    <w:p>
      <w:r>
        <w:rPr>
          <w:b/>
        </w:rPr>
        <w:t>E. 3.1</w:t>
      </w:r>
    </w:p>
    <w:p>
      <w:r>
        <w:t>En vertu de l'art. 10 al. 1 LAA, l'assuré a droit au traitement médical approprié des lésions résultant de l'accident.</w:t>
      </w:r>
    </w:p>
    <w:p>
      <w:r>
        <w:rPr>
          <w:b/>
        </w:rPr>
        <w:t>E. 3.2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3.3</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w:t>
      </w:r>
    </w:p>
    <w:p>
      <w:r>
        <w:t>A/1928/2023 - 9/20 - travail équilibré dans son domaine d'activité, si cette diminution résulte d'une atteinte à sa santé physique, mentale ou psychique et qu'elle persiste après les traitements et les mesures de réadaptation exigibles (art. 7 LPGA).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ce traitement ne fait pas obstacle à la clôture du cas (arrêt du Tribunal fédéral 8C_39/2018 du 11 juillet 2018 et les références). La prescription d’antalgiques n’exclut pas non plus la stabilisation de l’état de santé (arrêt du Tribunal fédéral 8C_93/2022 du 19 octobre 2022 consid. 4.2). Le principe de la cessation de la prise en charge du traitement médical est toutefois relativisé par l'art. 21 al. 1 let. c LAA, qui prévoit que lorsque la rente a été fixée, les prestations pour soins et remboursement de frais sont accordées à son bénéficiaire notamment lorsque le bénéficiaire a besoin de manière durable d'un traitement et de soins pour conserver sa capacité résiduelle de gain (arrêt du Tribunal fédéral 8C_125/2022 du 20 septembre 2022 consid. 3.1).</w:t>
      </w:r>
    </w:p>
    <w:p>
      <w:r>
        <w:rPr>
          <w:b/>
        </w:rPr>
        <w:t>E. 3.4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à des prestations d'assurance suppose entre l'événement dommageable de caractère accidentel et l'atteinte à la santé, un lien de causalité naturelle mais aussi adéquate (arrêt du Tribunal fédéral 8C_628/2007 du 22 octobre 2008 consid. 5.1).</w:t>
      </w:r>
    </w:p>
    <w:p>
      <w:r>
        <w:rPr>
          <w:b/>
        </w:rPr>
        <w:t>E. 3.5</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 les</w:t>
      </w:r>
    </w:p>
    <w:p>
      <w:r>
        <w:t>A/1928/2023 - 10/20 - accidents de gravité moyenne et les accidents graves. Le degré de gravité d'un accident s'apprécie d'un point de vue objectif, en fonction de son déroulement; il ne faut pas s'attacher à la manière dont la victime a ressenti et assumé le choc traumatique. Sont déterminantes les forces générées par l'accident et non pas les conséquences qui en résultent (arrêt du Tribunal fédéral 8C_816/2012 du</w:t>
      </w:r>
    </w:p>
    <w:p>
      <w:r>
        <w:rPr>
          <w:b/>
        </w:rPr>
        <w:t>E. 3.5.1</w:t>
      </w:r>
    </w:p>
    <w:p>
      <w:r>
        <w:t>Selon la jurisprudence, en cas d'accident insignifiant ou de peu de gravité, l'existence d'un lien de causalité adéquate entre l'accident et des troubles psychiques peut en règle générale être niée d'emblée (ATF 140 V 356 consid. 5.3).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et les références).</w:t>
      </w:r>
    </w:p>
    <w:p>
      <w:r>
        <w:rPr>
          <w:b/>
        </w:rPr>
        <w:t>E. 3.5.2</w:t>
      </w:r>
    </w:p>
    <w:p>
      <w:r>
        <w:t>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w:t>
      </w:r>
    </w:p>
    <w:p>
      <w:r>
        <w:t>-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lorsque l'on se trouve en présence d'un accident de</w:t>
      </w:r>
    </w:p>
    <w:p>
      <w:r>
        <w:t>A/1928/2023 - 11/20 - gravité moyenne, il faut un cumul de trois critères sur les sept ou au moins que l'un des critères retenus se soit manifesté de manière particulièrement marquante pour l'accident (arrêt du Tribunal fédéral 8C_729/2016 du 31 mars 2017 consid. 5.2 et les références).</w:t>
      </w:r>
    </w:p>
    <w:p>
      <w:r>
        <w:rPr>
          <w:b/>
        </w:rPr>
        <w:t>E. 3.6</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ne peut de toute façon pas être qualifié d'adéquat (ATF 135 V 465 consid. 5.1).</w:t>
      </w:r>
    </w:p>
    <w:p>
      <w:r>
        <w:rPr>
          <w:b/>
        </w:rPr>
        <w:t>E. 3.7</w:t>
      </w:r>
    </w:p>
    <w:p>
      <w:r>
        <w:t>Le CRPS est une pathologie neurologique, orthopédique et traumatologique et relève d’un trouble organique (arrêt du Tribunal fédéral 8C_232/2012 du 27 septembre 2012 consid. 5.3.1). 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1er mars 2021 consid. 3). Les</w:t>
      </w:r>
    </w:p>
    <w:p>
      <w:r>
        <w:t>A/1928/2023 - 12/20 -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 Selon la pratique, il n'est pas nécessaire que le diagnostic de CRPS ait déjà été posé par les médecins dans les six à huit mois suivant l'accident pour qu'il soit considéré comme accidentel (arrêts du Tribunal fédéral 8C_714/2016 du 16 décembre 2016 consid. 4.1 et 8C_177/2016 du 22 juin 2016 consid. 4.3). Ce qui est déterminant pour admettre un lien de causalité naturelle entre l’accident et le CRPS est que des résultats médicaux recueillis en temps réel révèlent que l’assuré a présenté au moins une partie des symptômes typiques d'un CRPS durant la période de latence de six à huit semaines après l'accident (arrêts du Tribunal fédéral 8C_411/2017 du 17 juillet 2018 consid. 3.3.1, 8C_673/2017 du 27 mars 2018 consid. 5). Un CRPS peut également être admis comme étant la conséquence d’un accident lorsqu’il survient dans ce délai non pas après l’accident même, mais après une intervention chirurgicale nécessaire pour traiter les suites de cet accident (arrêt du Tribunal fédéral 8C_384/2009 du 5 janvier 2010 consid. 4.2.1).</w:t>
      </w:r>
    </w:p>
    <w:p>
      <w:r>
        <w:rPr>
          <w:b/>
        </w:rPr>
        <w:t>E. 3.8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t>A/1928/2023 - 13/20 -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3.9</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w:t>
      </w:r>
    </w:p>
    <w:p>
      <w:r>
        <w:t>A/1928/2023 - 14/20 -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Pour déterminer le revenu d'invalide de l'assuré, il faut en l'absence d'un revenu effectivement réalisé se référer aux données salariales, telles qu'elles résultent des ESS (ATF 126 V 75 consid. 3b).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w:t>
      </w:r>
    </w:p>
    <w:p>
      <w:r>
        <w:t>A/1928/2023 - 15/20 -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4</w:t>
      </w:r>
    </w:p>
    <w:p>
      <w:r>
        <w:t>En l’espèce, la chambre de céans retient ce qui suit.</w:t>
      </w:r>
    </w:p>
    <w:p>
      <w:r>
        <w:rPr>
          <w:b/>
        </w:rPr>
        <w:t>E. 4.1</w:t>
      </w:r>
    </w:p>
    <w:p>
      <w:r>
        <w:t>S’agissant de la responsabilité de l’intimée pour les troubles psychiques que le recourant allègue, les accidents dont celui-ci a été victime – dont la gravité s’examine sans tenir compte de leurs conséquences délétères selon la jurisprudence – consistaient pour le premier en une glissade sur un chantier, et pour le second en une torsion de la cheville sur un trottoir. Ces événements doivent être considérés comme banals et classés dans les accidents de peu de gravité, ce qui suffit en principe déjà à exclure une prise en charge par l’assurance-accidents des troubles psychiques survenus par la suite. On ne se trouve au demeurant pas dans une situation où des circonstances exceptionnelles justifient l’examen de la réalisation des critères d’adéquation développés par la jurisprudence. En particulier, on ne saurait reconnaître de caractère impressionnant à ces incidents, et les lésions ne sont pas non plus d'une nature ou d'une gravité telle qu'elles sont propres à entraîner des troubles psychiques. Par analogie, ce critère a été nié dans le cas d’une fracture du calcanéum (arrêt du Tribunal fédéral 8C_432/2009 du 2 novembre 2009 consid. 5.3). Les troubles psychiques ne sont du reste pas apparus dans les suites immédiates de l’accident, les médecins de la CRR notamment ayant relaté que le moral était bon. Partant, on ne peut pas retenir de lien de causalité adéquate entre les accidents et les troubles psychiques signalés par le Dr G______. Dans ces conditions, il est inutile d’examiner plus avant si un lien de causalité naturelle entre ces troubles et l’accident doit être retenu, ni de déterminer les répercussions de l’atteinte psychique sur la capacité de travail du recourant.</w:t>
      </w:r>
    </w:p>
    <w:p>
      <w:r>
        <w:rPr>
          <w:b/>
        </w:rPr>
        <w:t>E. 4.2</w:t>
      </w:r>
    </w:p>
    <w:p>
      <w:r>
        <w:t>En ce qui concerne les troubles au genou – dont l’incidence sur la capacité de travail du recourant dans une activité adaptée n’a du reste pas été évaluée par un médecin –, force est de constater qu’aucune plainte de cet ordre n’a été formulée dans les suites de ses accidents, ni d’ailleurs à moyen terme après leur survenance. Les médecins de la CRR n’ont en particulier noté aucune pathologie de cette articulation et n’ont pas rapporté de douleurs du genou signalées par le recourant. Celui-ci paraît en avoir fait état pour la première fois lors d’un entretien téléphonique avec l’intimée du 17 août 2021, se plaignant d’avoir un genou enflé depuis la scintigraphie. De plus, comme l’a exposé le Dr E______, une</w:t>
      </w:r>
    </w:p>
    <w:p>
      <w:r>
        <w:t>A/1928/2023 - 16/20 - gonarthrose est une atteinte de nature dégénérative et ne peut être causée par un accident. Aucun élément médical au dossier ne permet de mettre en doute cette appréciation. C’est le lieu de rappeler que le seul fait que des symptômes douloureux ne se sont manifestés qu'après la survenance d'un accident ne suffit pas à établir un rapport de causalité naturelle avec cet accident (raisonnement post hoc, ergo propter hoc) (arrêt du Tribunal fédéral 8C_548/2018 du 7 novembre 2018 consid. 4 et les références). Partant, l’intimée ne répond pas de ces troubles.</w:t>
      </w:r>
    </w:p>
    <w:p>
      <w:r>
        <w:rPr>
          <w:b/>
        </w:rPr>
        <w:t>E. 4.3</w:t>
      </w:r>
    </w:p>
    <w:p>
      <w:r>
        <w:t>Quant au CRPS, l’hypothèse d’une telle pathologie a certes été avancée par la Dre F______. Celle-ci n’a cependant pas relaté dans son status d’observations cliniques compatibles avec un tel diagnostic, puisque seuls les troubles sensitifs sous forme de perte de sensibilité au piqué et de dysesthésies des orteils ont été rapportés, ce qui n’est pas suffisant selon la littérature médicale pour conclure à une telle atteinte, qu’elle n’a d’ailleurs pas formellement retenue. Aucun des autres spécialistes consultés n’a évoqué la possibilité d’une telle atteinte. Le Dr H______ a quant à lui expressément exclu un CRPS. En effet, il a noté dans son rapport du 31 août 2021 une absence de différence de température entre les deux pieds, de différence de couleur, et de différence d’œdèmes, de poils ou d’ongles, pour conclure que les critères de Budapest n’étaient pas remplis. Partant, compte tenu de l’absence de signes cliniques d’un CRPS, les résultats de la scintigraphie réalisée en juillet 2021 ne suffisent pas à en établir l’existence. Par surabondance, même s’il fallait admettre que le Dr K______ a constaté en octobre 2022 des symptômes au vu desquels les critères de Budapest seraient réalisés – ce qui ne ressort pas de son rapport –, cela ne suffirait pas à établir la responsabilité de l’intimée au vu du temps écoulé depuis les accidents et les interventions susceptibles d’entraîner un CRPS, qui excède largement le délai de latence de six à huit semaines avant l’apparition de symptômes de cette affection retenu par la jurisprudence.</w:t>
      </w:r>
    </w:p>
    <w:p>
      <w:r>
        <w:rPr>
          <w:b/>
        </w:rPr>
        <w:t>E. 4.4</w:t>
      </w:r>
    </w:p>
    <w:p>
      <w:r>
        <w:t>Il convient à présent de déterminer si l’état du recourant était stabilisé au 30 juin 2022. Tel est bien le cas en l’occurrence. En effet, aucun des nombreux spécialistes consultés n’a suggéré de traitement particulier après cette date. Le Dr J______ n’a pas posé d’indication opératoire. Le Dr D______ avait déjà exclu tout geste chirurgical le 10 novembre 2021. Les traitements brièvement instaurés par les Drs H______ et I______ ont été arrêtés à l’automne 2021. Ainsi, hormis la physiothérapie et la médication mentionnées par le Dr K______, lesquelles ne suffisent pas à exclure un état stabilisé, aucune option thérapeutique n’était envisagée après juin 2022. Le recourant ne fait pas valoir qu’un autre traitement particulier était programmé, dont il pouvait escompter des résultats significatifs. Partant, c’est à bon droit que l’intimée a retenu une stabilisation de l’état de santé dès le 1er juillet 2022. Cela étant, les conditions prévues à l’art. 21 al. 1 let. c LAA permettant la poursuite de la prise en charge d’un traitement après la fixation d’une rente sont réalisées. Dans son appréciation du 3 mai 2022, le Dr E_______ a souligné qu’une thérapie antalgique était nécessaire et que l’activité envisagée</w:t>
      </w:r>
    </w:p>
    <w:p>
      <w:r>
        <w:t>A/1928/2023 - 17/20 - l’était sous réserve d’une antalgie adaptée, cas échéant après consultation d’un spécialiste de la douleur. L’intimée, qui a reconnu un droit à une rente dès le 1er juillet 2022, n’en a cependant pas tenu compte et a mis fin au remboursement de l’ensemble des prestations de soins, sans prendre en charge l’antalgie préconisée par son médecin d’arrondissement. Sur ce point, sa décision n’est pas conforme au droit. La cause devra lui être renvoyée, à charge pour elle de déterminer précisément, avec le concours de son médecin d’arrondissement et d’autres spécialistes si nécessaire, le traitement antalgique qui reste à sa charge au-delà du 1er juillet 2022.</w:t>
      </w:r>
    </w:p>
    <w:p>
      <w:r>
        <w:rPr>
          <w:b/>
        </w:rPr>
        <w:t>E. 4.5</w:t>
      </w:r>
    </w:p>
    <w:p>
      <w:r>
        <w:t>Compte tenu de ce qui précède, la capacité de gain doit être analysée au vu des seules atteintes en lien avec les entorses, soit celles retenues par le médecin d’arrondissement de l’intimée dans son appréciation du 3 mai 2022. Ce dernier a conclu à une capacité de travail de 100% avec baisse de rendement d’une heure par jour afin d’aménager des pauses pour fractionner le travail. Le Dr E______, qui avait déjà examiné le recourant le 20 février 2019, le 13 février et le 10 juin 2020 et le 29 septembre 2021, a établi son appréciation après avoir pris connaissance de l’ensemble des rapports versés au dossier et après un nouvel examen par ses soins en date du 3 mai 2022. Il a tenu compte de l’ensemble des diagnostics avérés en lien avec les accidents subis, et ses conclusions sont claires et motivées. Il a dûment pris en considération les douleurs du recourant dans la détermination des limitations fonctionnelles et de la diminution de rendement qu’il a admise en raison des changements de position nécessaires. Partant, ce rapport satisfait à tous les réquisits jurisprudentiels et doit se voir reconnaître valeur probante. Il n’existe par ailleurs aucune appréciation concluante d’un autre médecin qui justifierait que l’on s’écarte de la capacité de travail retenue par le Dr E______ dans une activité adaptée. Les spécialistes consultés par le recourant ne se sont pas prononcés sur l’exigibilité d’une reprise professionnelle. Le Dr D______ a uniquement indiqué dans son rapport du 27 septembre 2021 au sujet de l’activité professionnelle que le recourant ne se voyait pas reprendre un travail au vu de ses douleurs, et qu’il se sentait limité au bout de quelques minutes en raison de celles- ci, même en position assise, et avait besoin de changer de position pour être soulagé. Ce faisant, ce médecin n’a pas exclu l’exigibilité médico-théorique d’une reprise d’activité, mais il a uniquement fait état de l’appréciation subjective par le recourant de sa capacité de travail – tout en soulignant qu’il était difficile de comprendre exactement l’origine de ses douleurs. Par ailleurs, rien ne permet d’accréditer l’assertion du recourant, selon laquelle les conclusions du Dr E______ ne correspondraient pas à celles que ce médecin lui a communiquées à l’issue de son dernier examen. L’évaluation de la capacité de travail des médecins traitants ne suffit pas à s’écarter de celle du Dr E______. S’agissant de celle du Dr G______, elle se</w:t>
      </w:r>
    </w:p>
    <w:p>
      <w:r>
        <w:t>A/1928/2023 - 18/20 - fonde sur des troubles psychiques dont l’intimée ne répond pas. Il n’est du reste pas inutile de souligner qu’elle n’est pas exempte de contradictions, puisque ce psychiatre relate dans son courrier d’octobre 2022 un état dépressif majeur incapacitant à hauteur de 50% au moins, pour ensuite conclure à une incapacité de travail totale. Quant au Dr K______, il retient un diagnostic d’algodystrophie qui doit être écarté, comme on l’a vu. De plus, son appréciation n’est nullement motivée. Partant, la chambre de céans se ralliera à la capacité de travail de 100% avec baisse de rendement d’une heure par jour dans une activité adaptée définie par le médecin d’arrondissement de l’intimée. Par appréciation anticipée des preuves (ATF 130 II 425 consid. 2.1), elle ne donnera pas suite aux demandes d’audition et d’expertise du recourant.</w:t>
      </w:r>
    </w:p>
    <w:p>
      <w:r>
        <w:rPr>
          <w:b/>
        </w:rPr>
        <w:t>E. 5</w:t>
      </w:r>
    </w:p>
    <w:p>
      <w:r>
        <w:t>Il convient d’examiner le calcul du degré d’invalidité auquel a procédé l’intimée.</w:t>
      </w:r>
    </w:p>
    <w:p>
      <w:r>
        <w:rPr>
          <w:b/>
        </w:rPr>
        <w:t>E. 5.1</w:t>
      </w:r>
    </w:p>
    <w:p>
      <w:r>
        <w:t>S’agissant du salaire avant invalidité, selon les informations de l’employeur du 15 février 2018, ses revenus s’élevaient à CHF 35.- par heure, auxquels s’ajoutaient une indemnité pour vacances et jours fériés de CHF 4.49 et un montant de CHF 2.92 correspondant au 13ème salaire. Par courriel du 12 février 2021, l’employeur a indiqué à l’intimée qu’il n’y aurait pas eu d’évolution de salaire en 2022. Selon les fiches de salaire transmises, le recourant a perçu les indemnités de piquet suivantes entre le 1er mars 2016 et le 31 mars 2017 : CHF 250.- en mai 2016, CHF 250.- en juillet 2016, CHF 350.- en janvier 2017, et CHF 250.- en février 2017, soit CHF 1'100.-. Dans sa décision sur opposition, l’intimée a augmenté le salaire horaire communiqué par l’employeur à CHF 35.60, eu égard à l’augmentation prévue par la convention collective de travail applicable. Elle a retenu un salaire annuel de CHF 80'216.20 en 2022, ce qui correspond au salaire horaire multiplié par 40 heures hebdomadaires et 52 semaines, plus le 13ème salaire de 8.33%. Elle a en outre ajouté un montant correspondant aux indemnités de piquet que le recourant a perçues durant l’année précédant l’accident, soit CHF 1'100.-. C’est à juste titre qu’elle a tenu compte des indemnités effectivement versées à ce titre, et non du montant de CHF 200.- par mois allégué par le recourant, qui n’est aucunement étayé. Le calcul de l’intimée ne prête pas le flanc à la critique, et il convient dès lors de confirmer le revenu sans invalidité de CHF 81'316.20 ainsi établi. L’intimée a également rectifié le gain assuré afin d’y intégrer les indemnités de piquet, ce qui est conforme au droit. S’agissant du revenu avec invalidité, il est conforme au droit de se référer aux salaires statistiques en l’absence d’activité lucrative. La valeur statistique appliquée (Total, niveau de compétence 1) est également correcte. Elle correspond à un salaire de CHF 5'261.- par mois, ce qui correspond à un revenu annuel de CHF 65'812.- une fois adapté à la durée normale de travail de 41.7 heures en 2022. Compte tenu de l’indexation selon l’Indice suisse des salaires (moins 0.7%</w:t>
      </w:r>
    </w:p>
    <w:p>
      <w:r>
        <w:t>A/1928/2023 - 19/20 - en 2021 et plus 1.1% en 2022), on aboutit à un revenu de CHF 66'073.20 – que l’intimée a fixé à CHF 66'073.30. Compte tenu de la baisse de rendement de 12% (soit cinq heures hebdomadaires de 41.7 heures), on obtient un revenu d’invalide de CHF 58'144.42. L’intimée n’a pas appliqué de réduction sur ce montant. Dans la mesure où la baisse de rendement est déjà déduite lors de la fixation du revenu d’invalide, il n’y a pas lieu d’en tenir compte une seconde fois dans le cadre de l’abattement (arrêt du Tribunal fédéral 9C_537/2019 du 25 février 2020 consid. 4.2). Pour le surplus, l’intimée est restée dans les limites de son pouvoir d’appréciation en ne concédant aucune réduction supplémentaire, au vu des critères pertinents. Le degré d’invalidité résultant de la comparaison des revenus s’élève à 28.76%, et sera arrondi à 29% selon les règles mathématiques (ATF 130 V 121 consid. 3.2). Le calcul de l’intimée doit ainsi être confirmé dans son résultat.</w:t>
      </w:r>
    </w:p>
    <w:p>
      <w:r>
        <w:rPr>
          <w:b/>
        </w:rPr>
        <w:t>E. 6</w:t>
      </w:r>
    </w:p>
    <w:p>
      <w:r>
        <w:t>Le recours est très partiellement admis. Le recourant a droit à des dépens, qui seront fixés à CHF 250.- (art. 61 let. g LPGA). Pour le surplus, la procédure est gratuite (art. 61 let. fbis LPGA a contrario).</w:t>
      </w:r>
    </w:p>
    <w:p>
      <w:r>
        <w:t>A/1928/2023 - 20/20 -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