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ATAS/1027/2019 vom 7. November 2019</w:t>
      </w:r>
    </w:p>
    <w:p>
      <w:r>
        <w:t>GE Cour de justice, 2019-11-07, FR</w:t>
      </w:r>
    </w:p>
    <w:p>
      <w:r>
        <w:rPr>
          <w:b/>
        </w:rPr>
        <w:t xml:space="preserve">Quelle: </w:t>
      </w:r>
      <w:r>
        <w:t>https://mcp.opencaselaw.ch/entscheid/ge_gerichte_ATAS_1027_2019</w:t>
      </w:r>
    </w:p>
    <w:p>
      <w:r>
        <w:t>FR: GE_GERICHTE ATAS/1027/2019 du 7 novembre 2019</w:t>
      </w:r>
    </w:p>
    <w:p>
      <w:r>
        <w:t>IT: GE_GERICHTE ATAS/1027/2019 del 7 novembre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les forme et délai légaux, le recours est recevable (art. 56 al. 1 et 60 al. 1 LPGA ; art. 9 de la loi cantonale du 14 octobre 1965 sur les prestations fédérales complémentaires à l’assurance-vieillesse et survivants et à l’assurance- invalidité [LPFC; J 4 20] ; art. 43 LPCC).</w:t>
      </w:r>
    </w:p>
    <w:p>
      <w:r>
        <w:rPr>
          <w:b/>
        </w:rPr>
        <w:t>E. 4</w:t>
      </w:r>
    </w:p>
    <w:p>
      <w:r>
        <w:t>Le litige porte sur la question de savoir si c’est à juste titre que l’intimé a pris en compte, dans le calcul des prestations de la recourante à compter du 1er avril 2018, un loyer proportionnel au motif qu’elle aurait partagé son logement avec son fils.</w:t>
      </w:r>
    </w:p>
    <w:p>
      <w:r>
        <w:rPr>
          <w:b/>
        </w:rPr>
        <w:t>E. 5</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rPr>
          <w:b/>
        </w:rPr>
        <w:t>E. 6</w:t>
      </w:r>
    </w:p>
    <w:p>
      <w:r>
        <w:t>Le juge des assurances sociales fonde sa décision, sauf dispositions contraires de la loi, sur les faits qui, faute d’être établis de manière irréfutable, apparaissent comme</w:t>
      </w:r>
    </w:p>
    <w:p>
      <w:r>
        <w:t>A/1765/2018 - 6/7 -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En l’espèce, les enquêtes ont clairement démontré que la recourante n’avait plus hébergé son fils depuis des années, puisque, jusqu’en 2011, il a cohabité avec la mère de son enfant, puis a été hébergé de-ci de-là, par des amis, sans se constituer de domicile fixe. L’intimé en a d’ailleurs convenu, raison pour laquelle il a conclu à l’admission du recours. Il convient dès lors de rendre un arrêt en ce sens et de renvoyer la cause à l’intimé à charge pour ce dernier de reprendre ses calculs depuis le 1er avril 2018 à tout le moins (période couverte par la décision litigieuse). Il conviendra qu’il porte ensuite la différence éventuelle en faveur de sa bénéficiaire en déduction de la dette de cette dernière à son égard suite à la décision de restitution rendue dans l’intervalle. Il sera également loisible à l’intimé – mais la Cour ne saurait l’y contraindre – d’envisager la possibilité, au vu des faits nouveaux mis en évidence par les enquêtes menées par la Cour, de reconsidérer également ses calculs pour la période antérieure au 1er avril 2018.</w:t>
      </w:r>
    </w:p>
    <w:p>
      <w:r>
        <w:t>A/1765/2018 - 7/7 -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