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ATAS/1027/2013 vom 23. Oktober 2013</w:t>
      </w:r>
    </w:p>
    <w:p>
      <w:r>
        <w:t>GE Cour de justice, 2013-10-23, FR</w:t>
      </w:r>
    </w:p>
    <w:p>
      <w:r>
        <w:rPr>
          <w:b/>
        </w:rPr>
        <w:t xml:space="preserve">Quelle: </w:t>
      </w:r>
      <w:r>
        <w:t>https://mcp.opencaselaw.ch/entscheid/ge_gerichte_ATAS_1027_2013</w:t>
      </w:r>
    </w:p>
    <w:p>
      <w:r>
        <w:t>FR: GE_GERICHTE ATAS/1027/2013 du 23 octobre 2013</w:t>
      </w:r>
    </w:p>
    <w:p>
      <w:r>
        <w:t>IT: GE_GERICHTE ATAS/1027/2013 del 23 ottobre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7 septembre 2012 est postérieure à l'entrée en vigueur de la LPGA ainsi qu’à l’entrée en vigueur des modifications de la LAI du 21 mars 2003 (4ème révision) et du 6 octobre 2006 (5ème révision). Par conséquent, du point de vue matériel, le droit éventuel à des prestations d'invalidité doit être examiné au regard des nouvelles normes de la LPGA et des modifications de la LAI</w:t>
      </w:r>
    </w:p>
    <w:p>
      <w:r>
        <w:t>- 12/21-</w:t>
      </w:r>
    </w:p>
    <w:p>
      <w:r>
        <w:t>A/2997/2012 consécutives aux 4ème et 5ème révisions de cette loi, dans la mesure de leur pertinence (ATF 130 V 445 et les références ; voir également ATF 130 V 329).</w:t>
      </w:r>
    </w:p>
    <w:p>
      <w:r>
        <w:rPr>
          <w:b/>
        </w:rPr>
        <w:t>E. 4</w:t>
      </w:r>
    </w:p>
    <w:p>
      <w:r>
        <w:t>Interjeté dans les formes et délai prescrits par la loi, le présent recours est recevable (art. 56 à 61 LPGA).</w:t>
      </w:r>
    </w:p>
    <w:p>
      <w:r>
        <w:rPr>
          <w:b/>
        </w:rPr>
        <w:t>E. 5</w:t>
      </w:r>
    </w:p>
    <w:p>
      <w:r>
        <w:t>Le litige porte sur la question de savoir si c’est à juste titre que l’intimé a nié à la recourante tout droit à des prestations, singulièrement, sur celle de savoir si la fibromyalgie dont elle souffre peut être qualifiée d'invalidante.</w:t>
      </w:r>
    </w:p>
    <w:p>
      <w:r>
        <w:rPr>
          <w:b/>
        </w:rPr>
        <w:t>E. 6</w:t>
      </w:r>
    </w:p>
    <w:p>
      <w:r>
        <w:t>Aux termes de l’art. 8 al. 1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7</w:t>
      </w:r>
    </w:p>
    <w:p>
      <w:r>
        <w:t>Dans un arrêt du 8 février 2006 (ATF 132 V 65), le Tribunal fédéral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w:t>
      </w:r>
    </w:p>
    <w:p>
      <w:r>
        <w:t>- 13/21-</w:t>
      </w:r>
    </w:p>
    <w:p>
      <w:r>
        <w:t>A/2997/2012 de volonté, et a établi des critères permettant d’apprécier le caractère invalidant de troubles somatoformes douloureux (ATF 131 V 49 ; ATF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w:t>
      </w:r>
    </w:p>
    <w:p>
      <w:r>
        <w:t>- 14/21-</w:t>
      </w:r>
    </w:p>
    <w:p>
      <w:r>
        <w:t>A/2997/2012 pas remplis, ou du moins pas d’une manière suffisamment intense, pour conclure à une incapacité de travail (ATF 132 V 65 consid. 4.3).</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- 15/21-</w:t>
      </w:r>
    </w:p>
    <w:p>
      <w:r>
        <w:t>A/2997/2012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166 consid. 4 ; ATF non publié I 514/06 du 25 mai 2007, consid. 2.2.1, in SVR 2008 IV n°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En vertu de la jurisprudence fédérale, les instances cantonales de recours sont en principe tenues de diligenter une expertise judiciaire si les expertises médicales ordonnées par l'OAI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w:t>
      </w:r>
    </w:p>
    <w:p>
      <w:r>
        <w:rPr>
          <w:b/>
        </w:rPr>
        <w:t>E. 10</w:t>
      </w:r>
    </w:p>
    <w:p>
      <w:r>
        <w:t>En l’espèce, l'intimé a nié le droit de la recourante à des prestations d’invalidité, considérant, sur la base des rapports du Dr U_________ du 13 mai 2011 et du Dr V________ du 30 avril 2012, qu'elle présentait une capacité de travail entière avec une diminution de rendement de 20%, taux insuffisant pour ouvrir le droit à une rente.</w:t>
      </w:r>
    </w:p>
    <w:p>
      <w:r>
        <w:rPr>
          <w:b/>
        </w:rPr>
        <w:t>E. 11</w:t>
      </w:r>
    </w:p>
    <w:p>
      <w:r>
        <w:t>Le rapport du Dr U_________ a été établi suite à un entretien avec la recourante et est basé sur une anamnèse personnelle, professionnelle et socio-économique récente, ainsi que sur des tests psychométriques et le dossier de l'intimé.</w:t>
      </w:r>
    </w:p>
    <w:p>
      <w:r>
        <w:t>- 16/21-</w:t>
      </w:r>
    </w:p>
    <w:p>
      <w:r>
        <w:t>A/2997/2012 Toutefois, la Cour de céans observe qu'il est difficilement compréhensible, que ses conclusions sont notamment fondées sur des considérations inexactes, qu'elles sont insuffisamment motivées et qu'elles contiennent des contradictions. S'agissant des diagnostics, le Dr U________ a écarté le trouble dépressif récurrent retenu par le Dr Q_________ dans ses rapports des 27 mars et 13 octobre 2010, au profit d'un éventuel fond dysthymique. L'expert a estimé, sur la base des pièces médicales au dossier, qu'il était possible que la recourante ait présenté, en 2006- 2007, un trouble de l'adaptation avec une humeur anxio-dépressive ou un état dépressif majeur des suites du décès de son père, mais que l'évolution avait néanmoins été largement favorable. La Cour de céans constate cependant que de nombreux médecins ont attesté de l'existence d'un trouble dépressif chronique bien avant 2006 et qu'il ne paraît donc pas être réactionnel au décès du père de la recourante, que ce décès soit intervenu en 2004 (comme mentionné par l'expert en p. 5 de son rapport) ou en 2007 (p. 24 du rapport). Il est en effet rappelé que le Dr Q_________ a diagnostiqué un trouble dépressif récurrent existant depuis environ 1995 (rapport du 27 mars 2010 ; procès-verbal d'enquêtes du</w:t>
      </w:r>
    </w:p>
    <w:p>
      <w:r>
        <w:rPr>
          <w:b/>
        </w:rPr>
        <w:t>E. 14</w:t>
      </w:r>
    </w:p>
    <w:p>
      <w:r>
        <w:t>Toute remarque utile et proposition des experts. 4. Invite les experts à faire une appréciation consensuelle du cas s’agissant de toutes les problématiques ayant des interférences entre elles, notamment l’appréciation de la capacité de travail résiduelle. 5. Invite les experts à déposer à leur meilleure convenance un rapport en trois exemplaires à la Cour de céans. 6. Fixe aux parties un délai de 10 jours dès réception de la présente pour une éventuelle récusation des experts nommés. 7.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