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ATAS/1027/2009 vom 9. April 2009</w:t>
      </w:r>
    </w:p>
    <w:p>
      <w:r>
        <w:t>GE Cour de justice, 2009-04-09, FR</w:t>
      </w:r>
    </w:p>
    <w:p>
      <w:r>
        <w:rPr>
          <w:b/>
        </w:rPr>
        <w:t xml:space="preserve">Quelle: </w:t>
      </w:r>
      <w:r>
        <w:t>https://mcp.opencaselaw.ch/entscheid/ge_gerichte_ATAS_1027_2009</w:t>
      </w:r>
    </w:p>
    <w:p>
      <w:r>
        <w:t>FR: GE_GERICHTE ATAS/1027/2009 du 9 avril 2009</w:t>
      </w:r>
    </w:p>
    <w:p>
      <w:r>
        <w:t>IT: GE_GERICHTE ATAS/1027/2009 del 9 aprile 2009</w:t>
      </w:r>
    </w:p>
    <w:p>
      <w:pPr>
        <w:pStyle w:val="Heading2"/>
      </w:pPr>
      <w:r>
        <w:t>Erwägungen</w:t>
      </w:r>
    </w:p>
    <w:p>
      <w:r>
        <w:rPr>
          <w:b/>
        </w:rPr>
        <w:t>E. 1</w:t>
      </w:r>
    </w:p>
    <w:p>
      <w:r>
        <w:t>Conformément à l'art. 56V al. 1 let. a ch. 1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w:t>
      </w:r>
    </w:p>
    <w:p>
      <w:r>
        <w:t>A/1899/2009 - 3/5 - (LPGA; RS 830.1), relatives à la loi fédérale sur l'assurance-vieillesse et survivants, du 20 décembre 1946 (LAVS; RS 831.10). Sa compétence pour juger du cas d’espèce est ainsi établie.</w:t>
      </w:r>
    </w:p>
    <w:p>
      <w:r>
        <w:rPr>
          <w:b/>
        </w:rPr>
        <w:t>E. 2</w:t>
      </w:r>
    </w:p>
    <w:p>
      <w:r>
        <w:t>Le Tribunal de céans constate que le recours, interjeté en temps utile (art. 60 al. 1 LPGA) est recevable en la forme.</w:t>
      </w:r>
    </w:p>
    <w:p>
      <w:r>
        <w:rPr>
          <w:b/>
        </w:rPr>
        <w:t>E. 3</w:t>
      </w:r>
    </w:p>
    <w:p>
      <w:r>
        <w:t>Le litige porte uniquement sur la question de savoir si des intérêts moratoires sont dus par le recourant à l’intimée.</w:t>
      </w:r>
    </w:p>
    <w:p>
      <w:r>
        <w:rPr>
          <w:b/>
        </w:rPr>
        <w:t>E. 4</w:t>
      </w:r>
    </w:p>
    <w:p>
      <w:r>
        <w:t>Selon l’art. 26 al. 1 LPGA, les créances de cotisations échues sont soumises à la perception d’intérêts moratoires. L'art. 41 bis al. 1 let. f du règlement du 31 octobre 1947 sur l'assurance vieillesse et survivants (RAVS; RS 831.101) confirme l'obligation, pour les personnes exerçant une activité indépendante, de s'acquitter d'intérêts moratoires sur les cotisations à payer sur la base du décompte, lorsque les acomptes versés étaient inférieurs d’au moins 25% aux cotisations effectivement dues et que les cotisations n’ont pas été versées jusqu’au 1er janvier après la fin de l’année civile suivant l’année de cotisation. Les intérêts moratoires courent du 1er janvier après la fin de l’année civile suivant l’année de cotisation jusqu’à ce que les cotisations soient intégralement payées (art. 41bis al. 1 let. f et al. 2 RAVS). Quant au taux d’intérêt, l’art. 7 de l’ordonnance du 11 septembre 2002 sur la partie générale du droit des assurances sociales (OPGA; RS 831.11)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w:t>
      </w:r>
    </w:p>
    <w:p>
      <w:r>
        <w:rPr>
          <w:b/>
        </w:rPr>
        <w:t>E. 5</w:t>
      </w:r>
    </w:p>
    <w:p>
      <w:r>
        <w:t>En l’espèce, le recourant proteste de sa bonne foi et fait remarquer qu’aucune faute ne lui est imputable, ce qui n’est d’ailleurs pas contesté.</w:t>
      </w:r>
    </w:p>
    <w:p>
      <w:r>
        <w:rPr>
          <w:b/>
        </w:rPr>
        <w:t>E. 6</w:t>
      </w:r>
    </w:p>
    <w:p>
      <w:r>
        <w:t>Ainsi que l’a souligné l’intimée dans ses décisions,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w:t>
      </w:r>
    </w:p>
    <w:p>
      <w:r>
        <w:rPr>
          <w:b/>
        </w:rPr>
        <w:t>E. 7</w:t>
      </w:r>
    </w:p>
    <w:p>
      <w:r>
        <w:t>En l’espèce, force est de constater que les cotisations AVS/AI/APG dues pour l’année 2006, selon les décisions de taxation du 9 avril 2009, sont supérieures de plus de 25 % aux acomptes acquittés durant cette même période (2'208 fr. 90 x 4, soit 8'835 fr. 60). Les intérêts moratoires sont donc dus dès le 1er janvier après la fin de l’année civile suivant l’année de cotisation, soit dès le 1er janvier 2008. Ainsi</w:t>
      </w:r>
    </w:p>
    <w:p>
      <w:r>
        <w:t>A/1899/2009 - 4/5 - que l’a déjà expliqué l’intimée, si des intérêts moratoires n’ont pas été réclamés au recourant pour les années précédentes, c’est simplement parce que la différence entre les acomptes versés et les cotisations dues selon la décision de taxation définitive était inférieure à 25 % et non en raison d’un changement de pratique de la caisse.</w:t>
      </w:r>
    </w:p>
    <w:p>
      <w:r>
        <w:rPr>
          <w:b/>
        </w:rPr>
        <w:t>E. 8</w:t>
      </w:r>
    </w:p>
    <w:p>
      <w:r>
        <w:t>On ajoutera enfin qu’eu égard à la jurisprudence constante rappelée supra, la caisse ne pouvait renoncer à une part des intérêts réclamés. 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w:t>
      </w:r>
    </w:p>
    <w:p>
      <w:r>
        <w:rPr>
          <w:b/>
        </w:rPr>
        <w:t>E. 9</w:t>
      </w:r>
    </w:p>
    <w:p>
      <w:r>
        <w:t>Eu égard aux considérations qui précèdent, le recours ne peut donc qu’être rejeté.</w:t>
      </w:r>
    </w:p>
    <w:p>
      <w:r>
        <w:t>A/1899/2009 - 5/5 -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