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ATAS/1026/2025 vom 19. Dezember 2025</w:t>
      </w:r>
    </w:p>
    <w:p>
      <w:r>
        <w:t>GE Cour de justice, 2025-12-19, FR</w:t>
      </w:r>
    </w:p>
    <w:p>
      <w:r>
        <w:rPr>
          <w:b/>
        </w:rPr>
        <w:t xml:space="preserve">Quelle: </w:t>
      </w:r>
      <w:r>
        <w:t>https://mcp.opencaselaw.ch/entscheid/ge_gerichte_ATAS_1026_2025</w:t>
      </w:r>
    </w:p>
    <w:p>
      <w:r>
        <w:t>FR: GE_GERICHTE ATAS/1026/2025 du 19 décembre 2025</w:t>
      </w:r>
    </w:p>
    <w:p>
      <w:r>
        <w:t>IT: GE_GERICHTE ATAS/1026/2025 del 19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À titre liminaire, il y a lieu de préciser qu'on ne saurait suivre le recourant lorsqu'il se plaint d’un retard à statuer. Tout d'abord, il convient de mentionner qu’un tel grief (déni de justice ; art. 56 al. 2 LPGA), formulé après la décision litigieuse, est irrecevable (ATF 131 II 361 consid. 1.2). Il serait, quoi qu'il en soit, mal fondé, l’OCE n’ayant pas fait preuve d’un retard injustifié en statuant le 21 mars 2025, soit moins de trois mois après l’inscription au chômage et après que l’intimé eut procédé à diverses mesures d'instruction.</w:t>
      </w:r>
    </w:p>
    <w:p>
      <w:r>
        <w:rPr>
          <w:b/>
        </w:rPr>
        <w:t>E. 3</w:t>
      </w:r>
    </w:p>
    <w:p>
      <w:r>
        <w:t>Le litige porte sur le bien-fondé de la décision de l’intimé de nier au recourant le droit à l'indemnité de chômage, faute de domicile en Suisse.</w:t>
      </w:r>
    </w:p>
    <w:p>
      <w:r>
        <w:rPr>
          <w:b/>
        </w:rPr>
        <w:t>E. 3.1</w:t>
      </w:r>
    </w:p>
    <w:p>
      <w:r>
        <w:t>En vertu de l’art. 8 al. 1 LACI, l’assuré a droit à l’indemnité de chômage s’il remplit un certain nombre de conditions cumulatives (ATF 124 V 218 consid. 2), au nombre desquelles figure le fait d’être domicilié en Suisse (art. 8 al. 1 let. c). Selon la jurisprudence, la notion de domicile au sens de la LACI ne correspond pas à celle du droit civil (art. 23ss du Code civil suisse du 10 décembre 1907 ; CC – RS 210), mais bien plutôt à celle de la résidence habituelle (cf. bulletin du SECO sur l’indemnité de chômage [IC], état juillet 2013, B 136 ; voir aussi les textes allemands et italien de l’art. 8 al. 1 let. c LACI : « in der Schweiz wohnt », « risiede in Svizzera » ; arrêt du Tribunal fédéral 8C_270/2007 du 7 décembre 2007, consid. 2.1). Sont ainsi exigées, selon cette disposition légale, la résidence effective en Suisse, ainsi que l’intention de conserver cette résidence pendant un</w:t>
      </w:r>
    </w:p>
    <w:p>
      <w:r>
        <w:t>A/2354/2025 - 7/11 -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(cf. ATAS/726/2008 du 19 juin 2008, consid. 4). En particulier, le principe prévu par l’art. 24 al. 1er CC, selon lequel toute personne conserve son domicile aussi longtemps qu’elle ne s’en est pas créé un nouveau, n’entre pas en ligne de compte pour l’application de l’art. 8 al. 1 let. c LACI (arrêt du Tribunal fédéral C 121/02 du 9 avril 2003, consid. 2.2).</w:t>
      </w:r>
    </w:p>
    <w:p>
      <w:r>
        <w:rPr>
          <w:b/>
        </w:rPr>
        <w:t>E. 3.2</w:t>
      </w:r>
    </w:p>
    <w:p>
      <w:r>
        <w:t>Pour avoir droit à l’indemnité, l’assuré doit remplir cette condition du « domicile » en Suisse, non seulement à l’ouverture du délai-cadre, mais pendant tout le temps où il touche l’indemnité (Gustavo SCARTAZZINI, Marc HURZELER, Bundessozialversicherungsrecht, 4e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3ème éd. 2016 p. 2319, n. 180).</w:t>
      </w:r>
    </w:p>
    <w:p>
      <w:r>
        <w:rPr>
          <w:b/>
        </w:rPr>
        <w:t>E. 3.3</w:t>
      </w:r>
    </w:p>
    <w:p>
      <w:r>
        <w:t>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En revanche, la présence de seules relations professionnelles, même intenses, avec la Suisse ne suffit pas (arrêt du tribunal fédéral 8C_326/2020 du 4 août 2020 consid. 3). Le fait d’avoir une adresse officielle en Suisse et d’y payer ses impôts n’est pas déterminant si d’autres indices permettent de conclure à</w:t>
      </w:r>
    </w:p>
    <w:p>
      <w:r>
        <w:t>A/2354/2025 - 8/11 - l’existence d’une résidence habituelle à l’étranger (cf. arrêt du Tribunal fédéral C 149/01 du 13 mars 2002, consid. 3). Ainsi, le Tribunal fédéral a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Dans un arrêt 8C_186/2017 du 1er septembre 2017, qui concernait un demandeur d’emploi partageant un appartement de 2.5 pièces avec son frère à Lugano (TI), possédant un véhicule sans l’avoir dédouané, et retournant en Italie (où vivaient ses parents) durant les week-ends, le Tribunal fédéral a considéré que la proximité du domicile avec la frontière, en particulier dans la région du Sottoceneri, exigeait une plus grande rigueur dans l’application de l’art. 8 al. 1 let. c LACI, afin de s’assurer que l’assuré avait effectivement le centre de ses relations personnelles en Suisse (arrêt du Tribunal fédéral 8C_186/2017 du 1er septembre 2017 consid. 5.3 ; cf. aussi l’arrêt du Tribunal fédéral 8C_440/2022 du 23 février 2023 consid. 4.1).</w:t>
      </w:r>
    </w:p>
    <w:p>
      <w:r>
        <w:rPr>
          <w:b/>
        </w:rPr>
        <w:t>E. 3.4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125 V 195 consid. 2). Le devoir du juge de constater les faits pertinents ne dispense donc pas les parties de collaborer à l’administration des preuves en donnant des</w:t>
      </w:r>
    </w:p>
    <w:p>
      <w:r>
        <w:t>A/2354/2025 - 9/11 -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w:t>
      </w:r>
    </w:p>
    <w:p>
      <w:r>
        <w:t>En l’espèce, l’OCE a considéré que le recourant n’était pas domicilié en Suisse au moment de son inscription au chômage, ce que celui-ci conteste. Il ressort de l’extrait de l’OCPM que le recourant est domicilié à l’avenue B______, au C______, depuis le 15 janvier 2024. Or, ainsi qu'il a été exposé ci- avant, le fait d'avoir une adresse officielle en Suisse et d'y payer des impôts n'est pas déterminant si d'autres incidences permettent de conclure à l'existence d'une résidence habituelle à l'étranger. Dans le cas d’espèce, les pièces au dossier révèlent une présence concrète et effective en Suisse depuis 2024. Ses relevés bancaires (Revolut) mentionnent en particulier de nombreuses dépenses effectuées dans des établissements proches de son studio au C______, soit des boulangeries ou restaurants, sis à E______ ou au C______. Cela est confirmé par les relevés téléphoniques du recourant pour les mois de septembre 2024 à mai 2025 (numéro 1______), qui font état de nombreuses communications (entrantes et sortantes) depuis la Suisse. Ces relevés montrent certes aussi de nombreuses communications effectuées en « roaming » depuis la France. Le recourant a toutefois expliqué en audience qu’il se rendait fréquemment chez ses frères, qui étaient domiciliés à K______. Si la consommation d’électricité de l’appartement du C______ en 2024 apparaît en- dessous de la consommation moyenne par an pour un ménage similaire, elle révèle néanmoins une présence effective dans le logement. Cela est du reste confirmé par le rapport d’enquête d’entraide administrative, selon lequel les renseignements recueillis auprès du voisinage direct ont confirmé une présence régulière de l’assuré à son adresse genevoise. Il n’est, enfin, pas contesté qu’il a une assurance-maladie et un permis de conduire suisses, qu’il s’acquitte de ses</w:t>
      </w:r>
    </w:p>
    <w:p>
      <w:r>
        <w:t>A/2354/2025 - 10/11 - impôts en suisse, qu’il y bénéfice d’un permis de séjour et que son véhicule y est immatriculé. Le lieu de résidence des membres de sa famille, soit son épouse et ses deux enfants en bas âge, joue certes un rôle important dans ce contexte. Ce seul élément n’exclut toutefois pas l’existence d’une résidence effective en Suisse puisqu’il ne s’agit pas du seul critère à prendre en considération pour déterminer le centre des relations personnelles. Il ressort toutefois du dossier que son épouse et ses deux enfants vivent à I______ (France), soit à près de quatre heures de route du studio que le recourant loue au C______. Son fils aîné est scolarisé à I______, où son épouse dispose d’un studio, qu’elle a hérité de sa famille. Au vu des pièces au dossier, et compte tenu de la distance qui sépare I______ de Genève, il apparaît vraisemblable que le recourant ne séjourne qu’occasionnellement dans le studio de 28m2 sis à I______. Les retrouvailles avec sa famille ont lieu aussi bien à Genève, à K______ qu’à I______, comme le recourant l’a indiqué en audience. Les relevés téléphoniques versés à la procédure révèlent d’ailleurs une présence effective de son épouse (numéro 2______) en Suisse depuis 2024. Selon les explications du recourant, il s’agit là d’une situation provisoire, dans l’attente de trouver un logement plus grand, permettant d’accueillir une famille avec deux enfants. Il y a donc lieu de retenir, au degré de la vraisemblance prépondérante, qu’en dehors des séjours effectués pour voir sa famille et des allers-retours fréquents pour rendre visite à ses frères dans la région transfrontalière, le recourant a principalement résidé au C______ depuis janvier 2024, lieu proche de son ancien travail, où il a été employé deux ans avant de s’inscrire au chômage, et y pratique son sport de manière régulière. Il a d’ailleurs rapidement retrouvé des nouveaux emplois en Suisse, indice supplémentaire de son intention de s’établir durablement dans ce pays. Au vu des considérations qui précèdent, la chambre de céans retient qu’il est établi au degré de la vraisemblance prépondérante que le recourant était domicilié à Genève au moment de son inscription au chômage en décembre 2024 et qu’il a droit à l’indemnité de chômage, pour autant que les autres conditions pour ouvrir ce droit soient remplies.</w:t>
      </w:r>
    </w:p>
    <w:p>
      <w:r>
        <w:rPr>
          <w:b/>
        </w:rPr>
        <w:t>E. 5</w:t>
      </w:r>
    </w:p>
    <w:p>
      <w:r>
        <w:t>Le recours doit en conséquence être admis et la décision attaquée annulée. Il ne sera pas alloué d’indemnité de procédure au recourant, qui n’était pas représenté et n’a pas fait valoir de frais engendrés par la procédure (art. 61 let. g LPGA). La procédure est gratuite (art. 61 let. fbis a contrario LPGA).</w:t>
      </w:r>
    </w:p>
    <w:p>
      <w:r>
        <w:t>******</w:t>
      </w:r>
    </w:p>
    <w:p>
      <w:r>
        <w:t>A/2354/2025 - 11/11 -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