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ATAS/1025/2020 vom 30. Oktober 2020</w:t>
      </w:r>
    </w:p>
    <w:p>
      <w:r>
        <w:t>GE Cour de justice, 2020-10-30, FR</w:t>
      </w:r>
    </w:p>
    <w:p>
      <w:r>
        <w:rPr>
          <w:b/>
        </w:rPr>
        <w:t xml:space="preserve">Quelle: </w:t>
      </w:r>
      <w:r>
        <w:t>https://mcp.opencaselaw.ch/entscheid/ge_gerichte_ATAS_1025_2020</w:t>
      </w:r>
    </w:p>
    <w:p>
      <w:r>
        <w:t>FR: GE_GERICHTE ATAS/1025/2020 du 30 octobre 2020</w:t>
      </w:r>
    </w:p>
    <w:p>
      <w:r>
        <w:t>IT: GE_GERICHTE ATAS/1025/2020 del 30 ottobre 2020</w:t>
      </w:r>
    </w:p>
    <w:p>
      <w:pPr>
        <w:pStyle w:val="Heading2"/>
      </w:pPr>
      <w:r>
        <w:t>Erwägungen</w:t>
      </w:r>
    </w:p>
    <w:p>
      <w:r>
        <w:rPr>
          <w:b/>
        </w:rPr>
        <w:t>E. 26</w:t>
      </w:r>
    </w:p>
    <w:p>
      <w:r>
        <w:t>septembre 2010 - LOJ - E 2 05 ; art. 62 al. 1 let. a de la loi sur la procédure administrative du 12 septembre 1985 - LPA - E 5 10). 2) a.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w:t>
      </w:r>
    </w:p>
    <w:p>
      <w:r>
        <w:t>b. 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w:t>
      </w:r>
    </w:p>
    <w:p>
      <w:r>
        <w:t>- 4/6 -</w:t>
      </w:r>
    </w:p>
    <w:p>
      <w:r>
        <w:t>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w:t>
      </w:r>
    </w:p>
    <w:p>
      <w:r>
        <w:t>c. Le cas de récusation de l’art. 15A al.1 let. b LPA présuppose aussi que le magistrat en question ait agi à « un autre titre »,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w:t>
      </w:r>
    </w:p>
    <w:p>
      <w:r>
        <w:t>d. La partialité peut aussi se manifester par des déclarations de la personne concernée, que celles-ci soient émises durant la procédure ou auparavant (ATF 125 I 119, c. 3a ; 115 Ia 180, c. 3 ; arrêt du Tribunal fédéral 1B_93/2017 du 18 mai 2017 consid. 2.4.1.). Il peut s’agir de déclarations toute autre prise de position manifestant un « préjugement » ou un préjugé à l’encontre de l’une des parties.</w:t>
      </w:r>
    </w:p>
    <w:p>
      <w:r>
        <w:t>e.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116 Ia 135 c. 3a). 3)</w:t>
      </w:r>
    </w:p>
    <w:p>
      <w:r>
        <w:t>En l’espèce, le requérant a semblé, du moins dans un premier temps, penser que M. TORELLO appartenait au SAM, alors qu'il s'agit d'un magistrat indépendant de l'administration.</w:t>
      </w:r>
    </w:p>
    <w:p>
      <w:r>
        <w:t>Pour le surplus, le requérant fait état presque uniquement de son sentiment subjectif, sans donner aucun élément concret permettant de rendre vraisemblable une prévention du magistrat visé par la requête.</w:t>
      </w:r>
    </w:p>
    <w:p>
      <w:r>
        <w:t>- 5/6 -</w:t>
      </w:r>
    </w:p>
    <w:p>
      <w:r>
        <w:t>Il se réfère certes, dans son complément de requête, aux courriers que lui aurait envoyés M. TORELLO dans le cadre de la procédure A/188/2020. Or le seul courrier figurant au dossier de la présente cause, et reproduit partiellement ci-dessus dans la partie « en fait », ne contient aucune déclaration ou prise de position susceptible de refléter une quelconque partialité du magistrat. Prolonger le délai de réponse de l'administration est courant, et formellement prévu par les art. 16 al. 2 cum 75 et 89A LPA. Quant à la demande du magistrat au justiciable de modérer ses propos à l'avenir, elle est compréhensible au vu des termes utilisés dans son courrier du 6 février 2020, et ne saurait être comprise comme préjugeant du sort de la cause.</w:t>
      </w:r>
    </w:p>
    <w:p>
      <w:r>
        <w:t>Il n'existe donc, sur la base de la requête, aucun motif fondé de récusation. 4)</w:t>
      </w:r>
    </w:p>
    <w:p>
      <w:r>
        <w:t>La requête sera dès lors rejetée. 5)</w:t>
      </w:r>
    </w:p>
    <w:p>
      <w:r>
        <w:t>Vu la nature du litige, aucun émolument ne sera mis à la charge du recourant (art. 87 al. 1 LPA).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