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ATAS/1025/2009 vom 20. Juli 2009</w:t>
      </w:r>
    </w:p>
    <w:p>
      <w:r>
        <w:t>GE Cour de justice, 2009-07-20, FR</w:t>
      </w:r>
    </w:p>
    <w:p>
      <w:r>
        <w:rPr>
          <w:b/>
        </w:rPr>
        <w:t xml:space="preserve">Quelle: </w:t>
      </w:r>
      <w:r>
        <w:t>https://mcp.opencaselaw.ch/entscheid/ge_gerichte_ATAS_1025_2009</w:t>
      </w:r>
    </w:p>
    <w:p>
      <w:r>
        <w:t>FR: GE_GERICHTE ATAS/1025/2009 du 20 juillet 2009</w:t>
      </w:r>
    </w:p>
    <w:p>
      <w:r>
        <w:t>IT: GE_GERICHTE ATAS/1025/2009 del 20 luglio 2009</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w:t>
      </w:r>
    </w:p>
    <w:p>
      <w:r>
        <w:t>A/124/2009 - 5/10 - révision de la LAI), entrées en vigueur le 1er janvier 2008, sont régies par le même principe et ne sont donc pas applicables.</w:t>
      </w:r>
    </w:p>
    <w:p>
      <w:r>
        <w:rPr>
          <w:b/>
        </w:rPr>
        <w:t>E. 3</w:t>
      </w:r>
    </w:p>
    <w:p>
      <w:r>
        <w:t>Selon l’art. 60 al. 1 LPGA, le délai de recours est de trente jours. Eu égard à la suspension des délais entre le 18 décembre et le 2 janvier (art. 38 al. 4 let. b LPGA), le recours interjeté le 14 janvier 2009 contre la décision du 3 décembre 2008 a été formé en temps utile (art. 39 al. 1 et 60 al. 2 LPGA). Interjeté dans la forme et le délai prévus par la loi, il est donc recevable au sens des art. 56ss LPGA.</w:t>
      </w:r>
    </w:p>
    <w:p>
      <w:r>
        <w:rPr>
          <w:b/>
        </w:rPr>
        <w:t>E. 4</w:t>
      </w:r>
    </w:p>
    <w:p>
      <w:r>
        <w:t>En l’occurrence, la recourante se limite à reprocher à l’intimé d’avoir procédé à une instruction lacunaire et d’avoir systématiquement minimisé les empêchements qu’elle rencontre dans l’accomplissement des tâches ménagères. Ce faisant, elle conteste également, implicitement, le degré d’invalidité retenu par l’OCAI à partir du 1er juillet 2007. En revanche, la période antérieure n’est pas litigieuse puisque la recourante s’est vu reconnaître le droit à une rente entière d’invalidité. En définitive, le litige porte donc sur le degré d'invalidité présenté par la recourante postérieurement au 1er juillet 2007, plus particulièrement dans l'accomplissement des travaux habituels.</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w:t>
      </w:r>
    </w:p>
    <w:p>
      <w:r>
        <w:t>A/124/2009 - 6/10 - p. 136 consid. 1b). La part des travaux habituels constitue le reste du pourcentage (ATF 130 V 395 consid. 3.3 et ATF 104 V 136 consid. 2a). En vertu de l’art. 28 al. 1 LAI, l’assuré a droit à une rente entière s’il est invalide à 70% au moins, à un trois-quarts de rente s'il est invalide à 60% au moins, à une demi-rente s’il est invalide à 50% au moins, ou à un quart de rente s’il est invalide à 40% au moins. L'obligation pour l'assuré de diminuer le dommage est un principe général du droit des assurances sociales (ATF 129 V 463 consid. 4.2 et ATF 117 V 278 consid. 2b).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6</w:t>
      </w:r>
    </w:p>
    <w:p>
      <w:r>
        <w:t>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w:t>
      </w:r>
    </w:p>
    <w:p>
      <w:r>
        <w:t>A/124/2009 - 7/10 -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 I 308/04 ainsi que I 309/04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7</w:t>
      </w:r>
    </w:p>
    <w:p>
      <w:r>
        <w:t>En l’espèce, il n’est ni contesté ni contestable que la part de l'activité professionnelle de la recourante est de 80% - ainsi que cela ressort du rapport établi en date du 27 septembre 2007 par le Dr A__________ et du questionnaire du 24 septembre 2007 rempli par l’assurée. Par conséquent, la part des travaux habituels est de 20%. Le degré d’invalidité de 40% dans la sphère professionnelle n’est pas davantage contestable, ni contesté. En effet, selon le rapport du Dr A__________ daté du 21 août 2008, le taux d’invalidité objectif de la recourante est de 50%. Étant donné que la part de l’activité professionnelle de la recourante s’élève à 80% de l’ensemble des travaux, l’invalidité y relative a été correctement fixée à 40% (50% x 80%). En définitive, seule est litigieuse la quotité des empêchements de la recourante dans l’accomplissement des activités ménagères, fixée par l’intimé à 16.4%. La recourante allègue que l’enquête est lacunaire puisque l’enquêtrice n’est pas venue à son domicile, que ses empêchements ont été systématiquement minimisés et qu’il n’a pas été tenu compte du fait que son mari a dû diminuer son temps de travail de 20% afin de l’aider à assumer les tâches ménagères. Contrairement à ce que soutient l’intimé, l’exigence d’une enquête au domicile de l’assurée ne ressort pas seulement des directives de l’OFAS, mais également de la loi et de la jurisprudence. En effet, l’art. 69 al. 2 RAI prescrit que des rapports ou des renseignements, des expertises ou des enquêtes sur place peuvent être exigés ou effectués. En outre, l’ATF 130 V 97 cité par l’intimé lui-même précise : « die Invaliditätbemessung erfolgt in Regelfall durch eine Abklärung vor Ort ». L’exigence d’une enquête sur place est au demeurant justifiée par le but de cette dernière, qui doit permettre à l’enquêteur de se faire une idée par lui-même de la situation concrète de l’assuré en ayant connaissance de la situation locale (ATF 129 V 67 consid. 2.3.2 non publié au Recueil officiel mais dans VSI 2003 p. 221) afin de déterminer le degré d’invalidité. Le Tribunal fédéral a d’ailleurs déjà nié toute</w:t>
      </w:r>
    </w:p>
    <w:p>
      <w:r>
        <w:t>A/124/2009 - 8/10 - valeur probante à un rapport d’enquête ménagère au motif, notamment, qu'il n’y avait pas eu enquête sur place au sens de l'art. 69 al. 2 RAI (ATF non publié I 733/06 du 16 juillet 2007, consid. 4.2.2).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 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Certes, ainsi que l’intimé le relève, selon la jurisprudence, on peut exiger de l’époux d’une assurée atteinte dans sa santé une aide plus importante. Il apparaît cependant qu’en l’espèce, le mari de la recourante assumait déjà - avant l’apparition de la maladie de son épouse - une part équivalent à 50% des tâches ménagères, de sorte que l’on peut difficilement exiger de lui qu’il augmente encore cette aide, au détriment de sa propre activité lucrative. D’ailleurs, le fait qu’il ait dû diminuer son temps de travail de 20% pour assumer les tâches que la recourante ne peut plus exercer permet de douter fortement de l’exactitude des conclusions de l’enquêtrice. Enfin, le degré d’invalidité retenu dans les postes de l’alimentation et des soins aux enfants - évalués à 16%, respectivement à 5% - ne semblent pas correspondre aux empêchements mentionnés par la recourante, laquelle affirme avoir beaucoup de peine à assumer les repas du soir, ne plus pouvoir du tout nettoyer la cuisine, ne pouvoir vider qu’épisodiquement le lave-vaisselle et avoir beaucoup de difficultés à jouer ou sortir avec sa fille. Il n’est par ailleurs pas précisé si les repas de midi sont pris à domicile et par qui ils sont préparés. Le rapport n’explique pas non plus comment et dans quelle mesure l’aide du mari est prise en considération dans l’appréciation des divers empêchements. A ces éléments s’ajoutent le fait que l’enquête n’a pas été réalisée à domicile, que la recourante n’a donc pu faire consigner ses objections dans le rapport, que ledit rapport ne mentionne effectivement pas que son mari a dû réduire son temps de travail de 20% afin de s’acquitter des tâches que son épouse ne peut plus assumer. En définitive, il faut en conclure que les conditions énumérées par la jurisprudence</w:t>
      </w:r>
    </w:p>
    <w:p>
      <w:r>
        <w:t>A/124/2009 - 9/10 - rappelée supra pour reconnaître pleine valeur probante au rapport d’enquête ménagère ne sont pas réunies en l’espèce. Par conséquent, il convient de renvoyer le dossier à l’intimé pour qu’il procède à une nouvelle enquête ménagère sur place en se conformant aux exigences jurisprudentielles.</w:t>
      </w:r>
    </w:p>
    <w:p>
      <w:r>
        <w:rPr>
          <w:b/>
        </w:rPr>
        <w:t>E. 8</w:t>
      </w:r>
    </w:p>
    <w:p>
      <w:r>
        <w:t>Au vu de ce qui précède, le recours est admis, la décision du 3 décembre 2008 est annulée au sens des considérants et le dossier renvoyé à l'intimé pour procéder à une nouvelle enquête ménagère au domicile de l’assurée. La recourante obtenant gain de cause, une indemnité de 1’500 fr. lui sera accordée à titre de dépens (art. 61 let. g LPGA). Au vu du sort du recours, il y a lieu de condamner l'intimé au paiement d'un émolument de 500 fr. (art. 69 al. 1bis LAI).</w:t>
      </w:r>
    </w:p>
    <w:p>
      <w:r>
        <w:t>A/124/2009 - 10/10 -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