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ATAS/1024/2018 vom 6. November 2018</w:t>
      </w:r>
    </w:p>
    <w:p>
      <w:r>
        <w:t>GE Cour de justice, 2018-11-06, FR</w:t>
      </w:r>
    </w:p>
    <w:p>
      <w:r>
        <w:rPr>
          <w:b/>
        </w:rPr>
        <w:t xml:space="preserve">Quelle: </w:t>
      </w:r>
      <w:r>
        <w:t>https://mcp.opencaselaw.ch/entscheid/ge_gerichte_ATAS_1024_2018</w:t>
      </w:r>
    </w:p>
    <w:p>
      <w:r>
        <w:t>FR: GE_GERICHTE ATAS/1024/2018 du 6 novembre 2018</w:t>
      </w:r>
    </w:p>
    <w:p>
      <w:r>
        <w:t>IT: GE_GERICHTE ATAS/1024/2018 del 6 novembre 2018</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w:t>
      </w:r>
    </w:p>
    <w:p>
      <w:r>
        <w:t>A/4930/2017 - 8/15 - Le recours a été interjeté en temps utile (art. 60 LPGA). Il satisfait aux exigences, peu élevées, de forme et de contenu prévues par la loi (art. 61 let. b LPGA ; cf. aussi art. 89B de la loi sur la procédure administrative du 12 septembre 1985 - LPA - E 5 10). Ayant été partie à la procédure ayant abouti à la décision attaquée, étant touché par cette dernière et ayant un intérêt digne de protection à son annulation ou sa modification, le recourant a qualité pour recourir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 été établis en pleine connaissance de l’anamnèse, décrivent clairement le contexte médical et les éventuelles interférences, et enfin contiennent des conclusions bien motivées (ATF 134 V 231 consid. 5.1 ; 133 V 450 consid. 11.1.3 ; 125 V 351 consid. 3). Si l’administration ou le juge, se fondant sur une appréciation consciencieuse des preuves fournies par les investigations auxquelles ils doivent procéder d’office, sont convaincus que certains faits présentent un degré de vraisemblance prépondérante</w:t>
      </w:r>
    </w:p>
    <w:p>
      <w:r>
        <w:t>A/4930/2017 - 9/15 -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l’espèce, s’agissant de la LAI, le droit applicable est le droit actuellement en vigueur, résultant de la dernière révision de la LAI, dite 6a du 18 mars 2011, entrée en vigueur le 1er janvier 2012. Au demeurant, cette révision-ci de la LAI, de même que ses précédentes révisions (la 5ème révision, du 6 octobre 2006, entrée en vigueur le 1er janvier 2008, et la 4ème révision, du 21 mars 2003, entrée en vigueur le 1er janvier 2004), n’ont pas amené de modifications substantielles en particulier en matière d'évaluation de l'invalidité, qui est la question ici litigieuse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A/4930/2017 - 10/15 -</w:t>
      </w:r>
    </w:p>
    <w:p>
      <w:r>
        <w:rPr>
          <w:b/>
        </w:rPr>
        <w:t>E. 4</w:t>
      </w:r>
    </w:p>
    <w:p>
      <w:r>
        <w:t>Le litige porte sur la question de savoir si le recourant présente une invalidité d’un degré suffisant pour lui ouvrir le droit à des prestations de l’AI, en particulier à une rente d’invalidité ou à des mesures de réadaptation, plus particulièrement, à des mesures d’ordre professionnel.</w:t>
      </w:r>
    </w:p>
    <w:p>
      <w:r>
        <w:rPr>
          <w:b/>
        </w:rPr>
        <w:t>E. 5</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Selon l’art. 8 al. 3 let. b LAI, les mesures de réadaptation comprennent les mesures d’ordre professionnel, que sont notamment l’orientation professionnelle, la formation professionnelle initiale, le reclassement et le placement. b. Les deux types de prestations (rente et mesures de réadaptation) font référence à la notion d’invalidité.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w:t>
      </w:r>
    </w:p>
    <w:p>
      <w:r>
        <w:t>A/4930/2017 - 11/15 -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2010, n. 156 ss, 160 ss).</w:t>
      </w:r>
    </w:p>
    <w:p>
      <w:r>
        <w:rPr>
          <w:b/>
        </w:rPr>
        <w:t>E. 6</w:t>
      </w:r>
    </w:p>
    <w:p>
      <w:r>
        <w:t>a. En l’espèce, après que la cause lui eut été renvoyée pour qu’il entre en matière sur la demande de prestations du recourant du 25 janvier 2016, l’intimé s’est renseigné sur l’état de santé de ce dernier tant auprès du Dr D_______ qu’auprès du Dr E_______, afin d’actualiser les données figurant déjà au dossier. Il a alors obtenu deux rapports de consultation spécialisée du Dr E_______, respectivement des 27 janvier 2015 et 18 janvier 2016, ainsi que l’information, confirmée par le recourant lui-même, que ce dernier n’avait plus consulté lesdits médecins, ni d’ailleurs d’autres médecins, pour les atteintes à la santé dont il se prévalait à l’appui de sa demande de prestations de l’AI de même que dans son recours. Le recourant n’a manifestement pas obtenu par la suite de rapports médicaux étayant les effets selon lui invalidants desdites atteintes à la santé, car s’il a indiqué, le 13 novembre 2017, qu’un bilan radiologique de sa colonne vertébrale serait effectué le 27 novembre 2017, dont il communiquerait les résultats, il n’en a fait état ni dans son recours du 13 décembre 2017, ni dans ses observations du 29 mars 2018. b. Le recourant invoque, sans l’établir d’aucune manière, un accident de vélomoteur remontant à l’année 1988, qui aurait provoqué une déchirure d’une clavicule ne s’étant jamais guérie. Il ne fait pas de doute que son médecin traitant, le Dr D_______, n’aurait pas manqué de faire état de séquelles handicapantes d’un tel accident s’il en avait constaté, déjà dans son rapport médical du 30 juillet 2010 à l’adresse de l’intimé, puis dans les rapports ou courriers qu’il a envoyés à l’intimé suite au dépôt par le recourant d’une nouvelle demande de prestations de l’AI, en particulier le 10 novembre 2016. Par ailleurs, dans leurs rapports respectifs du 14 octobre 2014 et des 27 janvier 2015 et 18 janvier 2016, tant le Dr F_______ que le Dr E_______ auraient mentionné cette ancienne atteinte à la santé et ses conséquences résiduelles s’ils avaient disposé d’éléments devant amener à retenir ne serait-ce qu’elles contribuaient à expliquer les plaintes ou/et restreindre les capacités de travail du recourant. c. Force est d’admettre que l’intimé s’est prononcé sur la base de données médicales suffisamment complètes, englobant les limitations consécutives au traumatisme avec luxation complète C4-C5 bi-articulaire que le recourant avait subi</w:t>
      </w:r>
    </w:p>
    <w:p>
      <w:r>
        <w:t>A/4930/2017 - 12/15 - le 12 mars 2006 en plongeant en eau peu profonde à l’Ile Maurice ainsi qu’à la fracture tassement sans déplacement des vertèbres D8-D4, la fracture costale de la 8ème côte à droite et une fissure suspectée d’une vertèbre dorsale qu’il s’était fait le soir du 13 octobre 2014 en sautant de la fenêtre du premier étage de son immeuble. Or, postérieurement au premier de ces accidents et compte tenu des problèmes psychiques qu’il avait rencontrés, le recourant avait recouvré une pleine capacité de travail tant dans son activité habituelle que dans une activité adaptée dès le 1er septembre 2010, et, après les évènements du 13 octobre 2014, il n’avait été en arrêt de travail que jusqu’au 19 janvier 2015 ainsi que du 26 février au 1er mars 2015. d. L’intimé n’en a pas moins tenu compte des limitations fonctionnelles du recourant signalées le 30 juillet 2010 par le Dr D_______, consécutives à l’accident du 12 mars 2006, de même que du constat qu’a fait le Dr E_______ le 7 janvier 2016 que le recourant éprouvait des douleurs lors du port de poids, pour admettre, eu égard aux charges inhérentes à l’activité habituelle du recourant, que cette dernière n’était plus exigible. Cette conclusion n’est pas remise en question. Des bilans radiologiques effectués en janvier 2015 et janvier 2016 par le Dr E_______ ne résultait en revanche nullement – au contraire – que le recourant n’avait pas une pleine capacité de travail dans une activité adaptée tenant compte desdites limitations, consistant à éviter le port de charges de plus de 15 kg, les positions statiques du rachis cervical et lombaire, les positions en porte-à-faux ainsi que le travail avec les membres supérieurs en-dessus de l’horizontale. Déjà en janvier 2015, l’évolution était favorable, avec une nette diminution des douleurs, notamment au niveau de la fracture de côte et de la vertèbre ; une reprise de la vie quotidienne plus ou moins normale était possible. Une année plus tard, la radiographie était tout à fait rassurante, avec l’absence de déformation, un équilibre sagittal conservé et l’absence de réelle scoliose malgré quelques petites déformations coronales ; concernant le traumatisme au niveau cervical, il y avait une fusion acquise du segment cervical avec une très bonne évolution, un matériel en place sans signe de complication, une situation semblant tout à fait guérie, et une nuque solide, mobilisable de façon quasi-normale. En l’absence de tout élément médical venant contredire ces évaluations, l’intimé était fondé à retenir la conclusion précitée que le recourant avait, dès le 19 janvier 2015, une pleine capacité de travail dans une activité adaptée aux limitations fonctionnelles précitées.</w:t>
      </w:r>
    </w:p>
    <w:p>
      <w:r>
        <w:rPr>
          <w:b/>
        </w:rPr>
        <w:t>E. 7</w:t>
      </w:r>
    </w:p>
    <w:p>
      <w:r>
        <w:t>août 2017 consid. 4.2.2 et références citées). La situation du recourant étant proche de cette situation, sinon correspond à cette situation, l’abattement de 10 % que l’intimé a pratiqué n’est en tout état pas insuffisant.</w:t>
      </w:r>
    </w:p>
    <w:p>
      <w:r>
        <w:t>A/4930/2017 - 14/15 - d. Il s’ensuit que la perte de gain que subit le recourant, telle qu’elle résulte de la comparaison des revenus devant être faite, est de 10 %.</w:t>
      </w:r>
    </w:p>
    <w:p>
      <w:r>
        <w:rPr>
          <w:b/>
        </w:rPr>
        <w:t>E. 8</w:t>
      </w:r>
    </w:p>
    <w:p>
      <w:r>
        <w:t>a. Ce degré d’invalidité est insuffisant pour fonder le droit à une rente d’invalidité, le minimal requis à cette fin étant un taux d’invalidité de 40 % (art. 28 al. 1 let. c et al. 2 LAI). b. Pour l’octroi de mesures de réadaptation, il n’est pas nécessaire que l’invalidité ait atteint le degré minimum ouvrant le droit à la rente. Il faut que sa nature et sa gravité soient telles qu’elles puissent ouvrir droit aux prestations entrant à ce titre en considération (art. 4 al. 2 et art. 8 al. 1 let. b LAI). Il n’y a cependant pas lieu d’allouer des mesures de réadaptation à une personne assurée qui dispose d’une importante capacité résiduelle de travail lorsqu’il peut la mettre à profit dans sa nouvelle activité ou dans celle qu’il pourrait exercer (arrêt du Tribunal fédéral 9C_163/2009 du</w:t>
      </w:r>
    </w:p>
    <w:p>
      <w:r>
        <w:rPr>
          <w:b/>
        </w:rPr>
        <w:t>E. 10</w:t>
      </w:r>
    </w:p>
    <w:p>
      <w:r>
        <w:t>septembre 2010 consid. 4.2.2 ; Michel VALTERIO, op. cit., n. 3 ad art. 8). Tel est le cas du recourant. Il dispose d’une pleine capacité de travail dans des activités respectant ses limitations fonctionnelles, étant précisé que sur un marché du travail équilibré, un nombre significatif d’activités non qualifiées qu’offrent les secteurs de la production et des services sont adaptées à ses empêchements sans formation complémentaire. Il n’a donc pas besoin de mesures de réadaptation. c. Quoi qu’il en soit, le recourant ne remplit pas les conditions d’octroi des mesures d’ordre professionnel dont il estime devoir bénéficier. Il ne se trouve pas empêché de faire lui-même le choix d’une profession ou d’une nouvelle orientation professionnelle parce que, suite à son atteinte à la santé, ses connaissances relatives aux aptitudes, capacités professionnelles et possibilités ne suffiraient pas pour faire un tel choix. Aussi n’a-t-il pas droit à une orientation professionnelle (art. 15 LAI ; arrêt du Tribunal fédéral 9C_236/2012 du</w:t>
      </w:r>
    </w:p>
    <w:p>
      <w:r>
        <w:rPr>
          <w:b/>
        </w:rPr>
        <w:t>E. 15</w:t>
      </w:r>
    </w:p>
    <w:p>
      <w:r>
        <w:t>février 2013 consid. 3.5 et références citées). Le recourant n’a pas non plus droit à un reclassement dans une nouvelle profession, au sens de l’art. 17 LAI, parce qu’il ne subit pas une incapacité de gain de 20 % environ dans toute activité raisonnablement exigible et pouvant être exercée sans formation complémentaire, ainsi que l’exige la jurisprudence, étant en outre précisé qu’il n’est pas en début de carrière professionnelle (ATF 139 V 399 consid. 5.3 ; 130 V 488 consid. 4.2 et références citées ; ch. 4011 de la Circulaire de l’office fédéral des assurances sociales sur les mesures de réadaptation d’ordre professionnel ; Michel VALTERIO, op. cit., n. 8 et 10 s. ad art. 17). 9. C’est donc à bon droit que l’intimé a refusé au recourant tant une rente d’invalidité que des mesures d’ordre professionnel. Le recours doit être rejeté. 10. La procédure de recours en matière de contestation portant sur l’octroi ou le refus de prestations de l’AI étant soumise à des frais de justice, un émolument sera mis à la charge du recourant, arrêté à son montant minimal de CHF 200.- (art. 69 al. 1 bis LAI).</w:t>
      </w:r>
    </w:p>
    <w:p>
      <w:r>
        <w:t>A/4930/2017 - 15/15 -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