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ATAS/1024/2010 vom 29. Mai 2009</w:t>
      </w:r>
    </w:p>
    <w:p>
      <w:r>
        <w:t>GE Cour de justice, 2009-05-29, FR</w:t>
      </w:r>
    </w:p>
    <w:p>
      <w:r>
        <w:rPr>
          <w:b/>
        </w:rPr>
        <w:t xml:space="preserve">Quelle: </w:t>
      </w:r>
      <w:r>
        <w:t>https://mcp.opencaselaw.ch/entscheid/ge_gerichte_ATAS_1024_2010</w:t>
      </w:r>
    </w:p>
    <w:p>
      <w:r>
        <w:t>FR: GE_GERICHTE ATAS/1024/2010 du 29 mai 2009</w:t>
      </w:r>
    </w:p>
    <w:p>
      <w:r>
        <w:t>IT: GE_GERICHTE ATAS/1024/2010 del 29 maggio 2009</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 recours, interjeté dans les délai et forme prescrits par la loi, est recevable.</w:t>
      </w:r>
    </w:p>
    <w:p>
      <w:r>
        <w:rPr>
          <w:b/>
        </w:rPr>
        <w:t>E. 3</w:t>
      </w:r>
    </w:p>
    <w:p>
      <w:r>
        <w:t>a)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 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Les art. 2 à 6 OAMal énumèrent les cas d’exemption de l’obligation de s’assurer. b) En l’espèce, il est constant que le recourant, domicilié et travaillant en Suisse, est soumis à l’assurance obligatoire conformément à l’art. 3 al. 1 LAMal et qu’il ne fait pas partie du cercle des personnes visées aux art. 2 à 6 OAMal.</w:t>
      </w:r>
    </w:p>
    <w:p>
      <w:r>
        <w:rPr>
          <w:b/>
        </w:rPr>
        <w:t>E. 4</w:t>
      </w:r>
    </w:p>
    <w:p>
      <w:r>
        <w:t>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w:t>
      </w:r>
    </w:p>
    <w:p>
      <w:r>
        <w:rPr>
          <w:b/>
        </w:rPr>
        <w:t>E. 5</w:t>
      </w:r>
    </w:p>
    <w:p>
      <w:r>
        <w:t>S’agissant des frais de rappel et de mise en demeure, il convient de prendre acte que l'intimée y a renoncé.</w:t>
      </w:r>
    </w:p>
    <w:p>
      <w:r>
        <w:t>A/484/2010 - 5/6 - Quant à l’intérêt moratoire réclamé par l'intimée sur les montants dus, il est parfaitement justifié et conforme à l'art. 7 de l’ordonnance du 11 septembre 2002 sur la partie générale du droit des assurances sociales (OPGA), étant rappelé que, selon la jurisprudence du Tribunal fédéral des assurances, le but des intérêts moratoires est de compenser le fait que le débiteur obtient des intérêts en raison du paiement différé, avantage dont est précisément privé le créancier. L’obligation de payer les intérêts moratoires est ainsi indépendante de toute notion de faute (cf. notamment RCC 1992 p. 178 consid. 4b). Enfin, s'agissant des frais de poursuites, l’art. 68 al. 1 de la loi fédérale du 11 avril 1889 sur la poursuite pour dettes et la faillite (LP) prévoit expressément qu'ils sont à la charge du débiteur, même si le créancier en fait l’avance. Eu égard à ce qui précède, il apparaît que la caisse était incontestablement en droit de poursuivre le recourant pour les montant des primes impayées et de lui réclamer les frais de poursuite et des intérêts moratoires</w:t>
      </w:r>
    </w:p>
    <w:p>
      <w:r>
        <w:rPr>
          <w:b/>
        </w:rPr>
        <w:t>E. 6</w:t>
      </w:r>
    </w:p>
    <w:p>
      <w:r>
        <w:t>Quoi qu'il en soit, en l'espèce, le montant dû a finalement été acquitté par le recourant en cours de procédure En conséquence, la procédure de mainlevée de l'opposition est donc devenue sans objet. C'est en ce sens qu'il convient d’admettre le recours et d’annuler la décision litigieuse.</w:t>
      </w:r>
    </w:p>
    <w:p>
      <w:r>
        <w:t>A/484/2010 - 6/6 -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