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ATAS/1024/2008 vom 16. September 2008</w:t>
      </w:r>
    </w:p>
    <w:p>
      <w:r>
        <w:t>GE Cour de justice, 2008-09-16, FR</w:t>
      </w:r>
    </w:p>
    <w:p>
      <w:r>
        <w:rPr>
          <w:b/>
        </w:rPr>
        <w:t xml:space="preserve">Quelle: </w:t>
      </w:r>
      <w:r>
        <w:t>https://mcp.opencaselaw.ch/entscheid/ge_gerichte_ATAS_1024_2008</w:t>
      </w:r>
    </w:p>
    <w:p>
      <w:r>
        <w:t>FR: GE_GERICHTE ATAS/1024/2008 du 16 septembre 2008</w:t>
      </w:r>
    </w:p>
    <w:p>
      <w:r>
        <w:t>IT: GE_GERICHTE ATAS/1024/2008 del 16 settembre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de savoir si la recourante a droit à une rente d'invalidité, d'une part, et si l'IPAI a été calculée correctement ou non.</w:t>
      </w:r>
    </w:p>
    <w:p>
      <w:r>
        <w:t>A/1128/2008 - 5/10 -</w:t>
      </w:r>
    </w:p>
    <w:p>
      <w:r>
        <w:rPr>
          <w:b/>
        </w:rPr>
        <w:t>E. 5</w:t>
      </w:r>
    </w:p>
    <w:p>
      <w:r>
        <w:t>On rappellera, préalablement, que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402 consid. 4.3.1, 119 V 337 consid. 1, 118 V 289 consid. 1b et les références). Les prestations comprennent, notamment, la prise en charge du traitement médical, le versement de l'indemnité journalière, le versement d'une rente d'invalidité et le versement d'une IPAI (art. 10, 16, 18 et 24 LAA).</w:t>
      </w:r>
    </w:p>
    <w:p>
      <w:r>
        <w:rPr>
          <w:b/>
        </w:rPr>
        <w:t>E. 6</w:t>
      </w:r>
    </w:p>
    <w:p>
      <w:r>
        <w:t>S'agissant de l'appréciation des preuves, on rappellera également ce qui suit : D'une part,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D'autre part,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A/1128/2008 - 6/10 - exprimées, qu'il ait été établi en pleine connaissance du dossier (anamnèse), que la description des interférences médicales soit claire et enfin que les conclusions de l'expert soient bien motivées (ATF 125 V 351 consid. 3). Le Tribunal fédéral des assurances a posé des lignes directrices en ce qui concerne la manière d'apprécier certains types d'expertises ou de rapports médicaux. Ainsi,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Par ailleurs,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Enfin,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ATFA non publié du 13 mars 2000, I 592/99, consid. b/ee).</w:t>
      </w:r>
    </w:p>
    <w:p>
      <w:r>
        <w:rPr>
          <w:b/>
        </w:rPr>
        <w:t>E. 7</w:t>
      </w:r>
    </w:p>
    <w:p>
      <w:r>
        <w:t>En l'espèce, la recourante conteste l'expertise médicale. Toutefois, le Tribunal constate qu'elle a pleine valeur probante. En effet, elle est complète, claire, bien documentée, et convaincante. La recourante se plaint de lacunes, sans toutefois les nommer. Elle se plaint également de contradictions, à tort. Notamment, on ne voit pas en quoi l'expert se contredirait en admettant une importante limitation pour le port de charges et les mouvements du tronc, avec difficulté à la marche, tout en retenant une pleine capacité de travail dans l'activité de vendeuse. En effet, l'expert</w:t>
      </w:r>
    </w:p>
    <w:p>
      <w:r>
        <w:t>A/1128/2008 - 7/10 - a précisé que la recourante devait pouvoir alterner les positions, et éviter le port de charges. Elle ne peut dès lors pas être affectée à une tâche de magasinière, où elle devrait par exemple s'occuper du stock de marchandises, mais elle peut travailler dans la vente, sous réserve des limitations retenues. Le métier de caissière est particulièrement bien adapté, et c'est précisément l'activité exercée actuellement par la recourante, qui est pourtant restée dans le domaine de la vente. On rappellera d'ailleurs à l'attention de la recourante que le fait de s'être « reconvertie » dans le métier de caissière, pour autant qu'il s'agisse véritablement d'une reconversion professionnelle, était exigible de sa part conformément au principe jurisprudentiel selon lequel un assuré doit, avant de requérir des prestations de l'assurance,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En l'occurrence, le Tribunal suivra les conclusions de l'expert. Une nouvelle expertise ne se justifie aucunement, la situation médicale de la recourante étant clairement établie, et par ailleurs non contestée.</w:t>
      </w:r>
    </w:p>
    <w:p>
      <w:r>
        <w:rPr>
          <w:b/>
        </w:rPr>
        <w:t>E. 8</w:t>
      </w:r>
    </w:p>
    <w:p>
      <w:r>
        <w:t>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w:t>
      </w:r>
    </w:p>
    <w:p>
      <w:r>
        <w:t>A/1128/2008 - 8/10 - d'appréciation (ATF 126 V 79-80 consid. 5b/aa-cc; ATFA non publié du 6 février 2002, U 241/00 consid. 2). Dans ses dernières écritures, la recourante s'en rapporte à justice sur la question de l'octroi d'une rente d'invalidité. À juste titre. Il apparaît en effet clairement qu'aucune perte de gain ne découle de la comparaison entre le salaire qu'elle percevait avant son accident et le salaire qu'elle perçoit actuellement, au contraire même si l'on en juge par le certificat de salaire produit. S'agissant du revenu obtenu avant l'accident, la recourante indiquait à tort recevoir un salaire de 3'200 fr. par mois. Elle était en effet payée à l'heure et a perçu, comme l'a constaté l'assureur, des revenus fluctuants entre 2'077.45 fr. et 3'286,68 fr., par mois en fonction du nombre d'heures effectuées.</w:t>
      </w:r>
    </w:p>
    <w:p>
      <w:r>
        <w:rPr>
          <w:b/>
        </w:rPr>
        <w:t>E. 9</w:t>
      </w:r>
    </w:p>
    <w:p>
      <w:r>
        <w:t>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ou mentale, dues à un ou plusieurs accidents, l'indemnité pour atteinte à l'intégrité est fixée d'après l'ensemble du dommage (al. 3, 1ère phrase). La gravité de l'atteinte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 ATFA non publié du 30 juillet 2002, U 249/01).</w:t>
      </w:r>
    </w:p>
    <w:p>
      <w:r>
        <w:t>A/1128/2008 - 9/10 -</w:t>
      </w:r>
    </w:p>
    <w:p>
      <w:r>
        <w:rPr>
          <w:b/>
        </w:rPr>
        <w:t>E. 10</w:t>
      </w:r>
    </w:p>
    <w:p>
      <w:r>
        <w:t>En l'espèce, la recourante ne conteste pas l'appréciation de l'atteinte à l'intégrité retenue par l'expert en tant qu'elle porte sur les séquelles du pied gauche. À juste titre, car l'expert s'est fondé sur les tables de la SUVA, établi par la Division médicale de celle-ci, qui comportent des valeurs indicatives destinées à assurer autant que faire se peut l'égalité de traitement entre les assurés. Ces tables émanant de l'administration ne constituent pas une source de droit et ne lient pas le juge, mais sont néanmoins compatibles avec l'annexe 3 à l'OLAA (ATF 124 V 32 consid. 1c, 211 consid. 4a/cc, 116 V 157 consid. 3a; ATFA non publié du 28 novembre 2003, U 11/03). Elles permettent de procéder à une appréciation plus nuancée, lorsque l'atteinte d'un organe n'est que partielle. L'annexe 3 à l'ordonnance sur l'assurance-accidents du 20 décembre 1982 (OLAA), quant à elles,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Comme rappelée ci- dessus, l'évaluation de la perte d'intégrité relève du domaine médical. La recourante considère toutefois que l'expert n'a pas pris en compte, à tort, les séquelles qu'elle a subies au membre supérieur gauche. Interpellé sur cette question, l'expert a toutefois rappelé que seul un déficit actif en extension au niveau de l'inter phalangienne proximale du cinquième doigt de l'ordre de 20 % réductible passivement a été constaté. La fermeture de la main est complète, et il n'y a pas de troubles rotatoires. La distance pulpe/tubercule scaphoïdien est de 1 cm pour le cinquième doigt à droite et de 5 cm pour le cinquième doigt à gauche. Cette atteinte est qualifiée de minime par l'expert, ce type d'arthrose moyenne des doigts n'entraînant pas d'atteinte invalidante, en tout cas pas supérieure à 5 %, ce qui est retenu dans le barème de l'ordonnance pour la perte d'une phalange du pouce ou d'au moins deux phalanges dans les autres doigts, et constitue le seuil minimum pour l'octroi d'une IPAI. Il n'y a en l'occurrence pas lieu de s'écarter de l'appréciation de l'expert.</w:t>
      </w:r>
    </w:p>
    <w:p>
      <w:r>
        <w:t>A/1128/2008 - 10/10 -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