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ATAS/1023/2020 vom 29. Oktober 2020</w:t>
      </w:r>
    </w:p>
    <w:p>
      <w:r>
        <w:t>GE Cour de justice, 2020-10-29, FR</w:t>
      </w:r>
    </w:p>
    <w:p>
      <w:r>
        <w:rPr>
          <w:b/>
        </w:rPr>
        <w:t xml:space="preserve">Quelle: </w:t>
      </w:r>
      <w:r>
        <w:t>https://mcp.opencaselaw.ch/entscheid/ge_gerichte_ATAS_1023_2020</w:t>
      </w:r>
    </w:p>
    <w:p>
      <w:r>
        <w:t>FR: GE_GERICHTE ATAS/1023/2020 du 29 octobre 2020</w:t>
      </w:r>
    </w:p>
    <w:p>
      <w:r>
        <w:t>IT: GE_GERICHTE ATAS/1023/2020 del 29 ottobre 2020</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L'art. 61 LPGA prévoit que la procédure devant la Cour de céans est régie par le droit cantonal, sous réserve que celui-ci respecte les exigences minimales requises par la LPGA.</w:t>
      </w:r>
    </w:p>
    <w:p>
      <w:r>
        <w:rPr>
          <w:b/>
        </w:rPr>
        <w:t>E. 3</w:t>
      </w:r>
    </w:p>
    <w:p>
      <w:r>
        <w:t>Les décisions sur opposition sont sujettes à recours dans les 30 jours suivant leur notification (art. 56 et 60 LPGA; cf. également art. 63 al. 1 let. a de la loi sur la procédure administrative du 12 septembre 1985 – LPA - E 5 10). Les délais commencent à courir le lendemain de leur communication ou de l'événement qui les déclenche. Le délai fixé par semaines, par mois ou par années</w:t>
      </w:r>
    </w:p>
    <w:p>
      <w:r>
        <w:t>- 4/6-</w:t>
      </w:r>
    </w:p>
    <w:p>
      <w:r>
        <w:t>A/2176/2020 expire le jour qui correspond par son nom ou son quantième à celui duquel il court; s'il n'y a pas de jour correspondant dans le dernier mois, le délai expire le dernier jour dudit mois.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LPA). Les délais en jours ou en mois fixés par la loi ou par l'autorité ne courent pas du 7e jour avant Pâques au 7e jour après Pâques inclusivement (art. 38 al. 4 LPGA et art. 89C LPA). Lorsque la notification intervient par pli recommandé, elle est réputée parfaite lorsque l'intéressé ou toute personne qui le représente ou dont on peut légitimement penser qu'elle le représente a reçu le pli ou l'a retiré au guichet postal en cas d'absence lors du passage du facteur (ATF 110 V 37 consid. 3). Pour être effectuée valablement, une notification doit être faite au mandataire en cas d’élection de domicile chez ce dernier (arrêt du Tribunal fédéral des assurances I 794/04 du 1er mai 2006 consid. 1). On ajoutera que, conformément à l’ordonnance sur la suspension des délais dans les procédures civiles et administratives pour assurer le maintien de la justice en lien avec le coronavirus (COVID-19) du 20 mars 2020 (RS 173.110.4), les délais légaux ont été suspendus du 21 mars au 19 avril 2020 inclus (art. 1 al. 1 et art. 2 de l’ordonnance).</w:t>
      </w:r>
    </w:p>
    <w:p>
      <w:r>
        <w:t>Pour calculer l’échéance du délai, on détermine d’abord la fin du délai en partant du jour de la communication, puis on ajoute le nombre de jours de suspension écoulés (ATF 131 V 314 consid. 4.6).</w:t>
      </w:r>
    </w:p>
    <w:p>
      <w:r>
        <w:t>En l’espèce, la décision du 15 mai 2020 a été notifiée par pli recommandé au Service des affaires sociales de la Ville de Lancy, de sorte qu’il est manifeste que le délai de recours de trente jours était dépassé lorsque l’intéressée a agi, le 9 juillet 2020, ce qu’elle ne conteste au demeurant pas.</w:t>
      </w:r>
    </w:p>
    <w:p>
      <w:r>
        <w:rPr>
          <w:b/>
        </w:rPr>
        <w:t>E. 4</w:t>
      </w:r>
    </w:p>
    <w:p>
      <w:r>
        <w:t>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MOOR/Etienne POLTIER, Droit administratif, vol. 2, Berne 2011, p. 303).</w:t>
      </w:r>
    </w:p>
    <w:p>
      <w:r>
        <w:t>- 5/6-</w:t>
      </w:r>
    </w:p>
    <w:p>
      <w:r>
        <w:t>A/2176/2020 Une restitution de délai peut cependant être accordée, de manière exceptionnelle, à condition que le requérant ait été empêché, sans sa faute, d’agir dans le délai fixé. Il s’agit là de dispositions impératives auxquelles il ne peut être dérogé (Jurisprudence des autorités administratives de la Confédération [JAAC] 60/1996, consid. 5.4, p. 367 ; ATF 119 II 87 consid. 2a; ATF 112 V 256 consid. 2a). En l'espèce, la recourante n’invoque aucune circonstance susceptible de justifier une telle restitution. En particulier, la situation sanitaire particulière ne saurait être prise en compte puisque la décision litigieuse a été rendue bien après la suspension exceptionnelle des délais ordonnée par le Conseil fédéral. On ajoutera que la faute du mandataire ou d'un auxiliaire est imputable à la partie elle-même (arrêt 1P 829/2005 du 1er mai 2006, consid. 3.3 publié in SJ 2006 I p. 449 et les arrêts cités). A cet égard, c’est en vain que la recourante soutient que le Service des affaires sociales de la Ville de Lancy ne saurait être considéré comme son mandataire, l’opposition ayant été formée en son nom par ce dernier, plus particulièrement par la responsable de service.</w:t>
      </w:r>
    </w:p>
    <w:p>
      <w:r>
        <w:t>En conséquence, le recours doit être déclaré irrecevable pour cause de tardiveté.</w:t>
      </w:r>
    </w:p>
    <w:p>
      <w:r>
        <w:t>- 6/6-</w:t>
      </w:r>
    </w:p>
    <w:p>
      <w:r>
        <w:t>A/2176/2020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