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ATAS/1023/2008 vom 22. Mai 2006</w:t>
      </w:r>
    </w:p>
    <w:p>
      <w:r>
        <w:t>GE Cour de justice, 2006-05-22, FR</w:t>
      </w:r>
    </w:p>
    <w:p>
      <w:r>
        <w:rPr>
          <w:b/>
        </w:rPr>
        <w:t xml:space="preserve">Quelle: </w:t>
      </w:r>
      <w:r>
        <w:t>https://mcp.opencaselaw.ch/entscheid/ge_gerichte_ATAS_1023_2008</w:t>
      </w:r>
    </w:p>
    <w:p>
      <w:r>
        <w:t>FR: GE_GERICHTE ATAS/1023/2008 du 22 mai 2006</w:t>
      </w:r>
    </w:p>
    <w:p>
      <w:r>
        <w:t>IT: GE_GERICHTE ATAS/1023/2008 del 22 maggio 2006</w:t>
      </w:r>
    </w:p>
    <w:p>
      <w:pPr>
        <w:pStyle w:val="Heading2"/>
      </w:pPr>
      <w:r>
        <w:t>Regeste</w:t>
      </w:r>
    </w:p>
    <w:p>
      <w:r>
        <w:t>Résumé: La caisse de compensation n'est pas entrée en matière sur la demande de reconsidération, puisqu'elle s'est contentée d'examiner si les pièces produites étaient nouvelles ou non, sans examiner si les conditions d'une reconsidération étaient remplies, soit sans examiner si la décision litigieuse était manisfestement erronée et si sa modification revêtait une importance notable. Dès lors la décision de refus d'entrée en matière de la caisse n'est pas susceptible de recours.</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Selon l'art. 52 al. 1 LPGA, les décisions peuvent être attaquées dans les 30 jours par voie d'opposition, auprès de l'assureur qui les a rendues, à l'exception des décisions d'ordonnancement de la procédure. Par ailleurs, les décisions sur opposition et celles contre lesquelles la voie de l'opposition n'est pas ouverte sont sujettes à recours, selon l'art. 56 al. 1 LPGA. La voie de l'opposition n'est pas ouverte contre une décision de non entrée en matière de l'administration (cf. ATF 133 V 50 consid. 4.2.2).</w:t>
      </w:r>
    </w:p>
    <w:p>
      <w:r>
        <w:rPr>
          <w:b/>
        </w:rPr>
        <w:t>E. 3</w:t>
      </w:r>
    </w:p>
    <w:p>
      <w:r>
        <w:t>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S'il subsiste des doutes raisonnables sur le caractère erroné de la décision initiale, les conditions de la reconsidération ne sont pas remplies (arrêts 9C_71/2008 du 14 mars 2008, consid. 2; U 5/07 du 9 janvier 2008, consid. 5.2; 9C_575/2007 du 18 octobre 2007 consid. 2.2; I 907/06 du 7 mai 2007 consid. 3.2.1). Selon la jurisprudence, l'administration n'est pas tenue de reconsidérer les décisions qui remplissent les conditions fixées; elle en a simplement la faculté et ni l'assuré ni le juge ne peuvent l'y contraindre (cf. ATF 117 V 12 consid. 2a et les références).</w:t>
      </w:r>
    </w:p>
    <w:p>
      <w:r>
        <w:t>A/2038/2008 - 5/6 -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13 consid. 2a, ATF 116 V 62; MEYER-BLASER, Die Bedeutung von Art. 4 Bundesverfassung für das Sozialversicherungsrecht, RDS 111 [1992] II 443 s.). Le Tribunal fédéral (ci-après TF) a précisé qu'une demande de reconsidération pouvait connaître trois issues: soit l'administration n'entre pas du tout en matière ; soit elle examine si les conditions d'une reconsidération sont remplies, puis le nie et rend une nouvelle décision de rejet ; soit elle examine si les conditions de la reconsidération sont remplies et l'admet, puis modifie la décision initiale. Dans les deux derniers cas, quel que soit l'intitulé de la décision, on doit considérer que l'administration est entrée en matière, de sorte qu'un recours est possible, même si la caisse ne s'est livrée qu'à un examen sommaire sur le fond (ATF 117 V 8 p. 14).</w:t>
      </w:r>
    </w:p>
    <w:p>
      <w:r>
        <w:rPr>
          <w:b/>
        </w:rPr>
        <w:t>E. 4</w:t>
      </w:r>
    </w:p>
    <w:p>
      <w:r>
        <w:t>En l'espèce, la question est de déterminer si l'on se trouve dans l'une des deux premières hypothèses. Pour le recourant, la caisse est entrée en matière sur la demande et l'a rejetée. Pour la caisse, il n'y a pas eu d'entrer en matière. Si l'on se réfère aux trois hypothèses déterminées par le TF, il y a lieu de retenir que l'on se trouve, ici, dans la première hypothèse. En effet, examiner si les conditions de la reconsidération sont remplies (deuxième hypothèse) suppose que l'on examine si la décision litigieuse est manifestement erronée et si sa modification revêt une importance notable, puisque telles sont les deux conditions de la reconsidération. La troisième hypothèse consiste à retenir qu'il y a bel et bien une décision manifestement erronée dont la modification revêt une importance notable, et à l'admettre. Par conséquent, la première hypothèse suppose que l'on n'examine pas ces deux questions. C'est bien le cas en l'occurrence, car la caisse s'est contentée de constater que les pièces produites étaient essentiellement les mêmes que celles produites dans la procédure de recours et déjà examinées, et que les pièces qui étaient nouvelles ne concernaient pas, a priori, la société faillie mais une autre. La caisse en a déduit qu'il n'y avait pas lieu dès lors d'examiner si les conditions de la reconsidération étaient remplies. Il en découle que la décision de refus d'entrer en matière n'est pas susceptible de recours, de sorte que celui-ci est irrecevable.</w:t>
      </w:r>
    </w:p>
    <w:p>
      <w:r>
        <w:t>A/2038/2008 - 6/6 -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