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ATAS/1022/2011 vom 24. Oktober 2011</w:t>
      </w:r>
    </w:p>
    <w:p>
      <w:r>
        <w:t>GE Cour de justice, 2011-10-24, FR</w:t>
      </w:r>
    </w:p>
    <w:p>
      <w:r>
        <w:rPr>
          <w:b/>
        </w:rPr>
        <w:t xml:space="preserve">Quelle: </w:t>
      </w:r>
      <w:r>
        <w:t>https://mcp.opencaselaw.ch/entscheid/ge_gerichte_ATAS_1022_2011</w:t>
      </w:r>
    </w:p>
    <w:p>
      <w:r>
        <w:t>FR: GE_GERICHTE ATAS/1022/2011 du 24 octobre 2011</w:t>
      </w:r>
    </w:p>
    <w:p>
      <w:r>
        <w:t>IT: GE_GERICHTE ATAS/1022/2011 del 24 ottobre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la forme et en temps utile, le recours est recevable (art. 60 LPGA).</w:t>
      </w:r>
    </w:p>
    <w:p>
      <w:r>
        <w:rPr>
          <w:b/>
        </w:rPr>
        <w:t>E. 3</w:t>
      </w:r>
    </w:p>
    <w:p>
      <w:r>
        <w:t>L'objet du litige se limite au degré d’invalidité que présente le recourant dès le 1er février 2010, dans la mesure où les questions du début du droit à la rente, du traitement médical et le remboursement des frais ne sont pas contestées.</w:t>
      </w:r>
    </w:p>
    <w:p>
      <w:r>
        <w:rPr>
          <w:b/>
        </w:rPr>
        <w:t>E. 4</w:t>
      </w:r>
    </w:p>
    <w:p>
      <w:r>
        <w:t>a) Aux termes de l'art. 6 al. 1 LAA, si la loi n'en dispose pas autrement, les prestations d'assurance sont allouées en cas d'accident professionnel, d'accident non professionnel et de maladie professionnelle. Par accident, on entend toute atteinte</w:t>
      </w:r>
    </w:p>
    <w:p>
      <w:r>
        <w:t>A/140/2011 - 11/16 -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b) Selon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de l’aptitude de l’assuré à accomplir dans sa profession ou son domaine d’activité le travail qui peut raisonnablement être exigé de lui, si cette perte résulte d’une atteinte à la santé (art. 6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w:t>
      </w:r>
    </w:p>
    <w:p>
      <w:r>
        <w:t>A/140/2011 - 12/16 -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du 19 mars 2009, cause 9C_437/2008 consid. 4.2, in SVR 2009 IV no 35 p. 97; ATFA non publiés du 30 avril 1991, I 350/89, consid. 3b in RCC 1991 p. 332, et I 329/88 du 25 janvier 1989, consid. 4a in RCC 1989 p. 331).</w:t>
      </w:r>
    </w:p>
    <w:p>
      <w:r>
        <w:rPr>
          <w:b/>
        </w:rPr>
        <w:t>E. 5</w:t>
      </w:r>
    </w:p>
    <w:p>
      <w:r>
        <w:t>a) 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En ce qui concerne les rapports et expertises établis par les médecins des assureurs, le juge peut leur accorder pleine valeur probante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w:t>
      </w:r>
    </w:p>
    <w:p>
      <w:r>
        <w:t>A/140/2011 - 13/16 -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6</w:t>
      </w:r>
    </w:p>
    <w:p>
      <w:r>
        <w:t>Enfin,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w:t>
      </w:r>
    </w:p>
    <w:p>
      <w:r>
        <w:rPr>
          <w:b/>
        </w:rPr>
        <w:t>E. 7</w:t>
      </w:r>
    </w:p>
    <w:p>
      <w:r>
        <w:t>En l’occurrence, dans sa décision litigieuse, l’intimée a considéré que malgré ses atteintes à la cheville droite, le recourant a une capacité de travail entière dans une activité adaptée à compter du 1er février 2010. Le recourant estime, quant à lui, que sa capacité de travail est nulle, même dans une activité adaptée, et que l’intimé aurait dû prendre en compte les troubles psychiques dont il souffre. Sur le plan somatique, il résulte du rapport établi le 1er février 2010 par le Dr S__________, spécialiste FMH en chirurgie orthopédique, que le recourant souffre d’une arthrose tibio-astragalienne et d’une arthrose sous-astragalienne de la cheville droite qui sont en relation de causalité avec l’accident survenu en 1998 (rapport du Dr S__________ du 1er février 2010). L’évolution après la prothèse avait été défavorable ; le recourant avait des douleurs en partie mécaniques sur des conflits au niveau des malléoles ainsi que des douleurs de type inflammatoire et/ou neurologique. Les limitations fonctionnelles présentées par le recourant étaient : conduire des machines, y compris les tondeuses, travailler dans les pentes ou les terrains irréguliers, travailler sur des échelles ou des échafaudages, retourner le sol avec une bêche, piétiner ou marcher de façon prolongée, se tenir accroupi ou à genoux de façon prolongée, monter et descendre des pentes et/ou des escaliers de façon répétitive, marcher sans cannes plus de quelques mètres, maintenir une station debout plus de 15-30 minutes, rester assis sans bouger plus de 15-30 minutes, porter des charges - même de 1kg - en raison des cannes, conduire de façon prolongée en ville. S’agissant de la capacité de travail, le Dr S__________ a estimé que dans une profession capable de respecter toutes ces limitations, la</w:t>
      </w:r>
    </w:p>
    <w:p>
      <w:r>
        <w:t>A/140/2011 - 14/16 - capacité de travail était totale, en tenant compte uniquement des séquelles liées à l’accident. L’assuré avait une incapacité totale de travailler comme jardinier sur le terrain et une incapacité partielle pour le travail sédentaire qui s’y rapporte, tel que la planification, la gestion et les devis. La Cour de céans constate que le rapport d’expertise du Dr S__________ repose sur des examens du recourant et l’étude de son dossier médical. L’anamnèse est détaillée et les plaintes du recourant ont été prises en considération. L’expertise est en outre bien motivée puisqu’elle explique notamment les diagnostics retenus et expose en outre de façon claire et précise les limitations fonctionnelles qu’impliquent les atteintes dont souffre le recourant ainsi que le taux de sa capacité de travail. Les conclusions sont ainsi dûment motivées. Il y a donc lieu de reconnaître une valeur probante entière au rapport d’expertise. La Cour de céans constate par ailleurs que les autres médecins ayant examiné le recourant n’émettent pas une opinion contraire apte à mettre sérieusement en doute la pertinence des déductions de l’expert. Ainsi, la Dresse Q__________ a également estimé que l’activité de jardinier n’était plus exigible, mais qu’une autre activité l’était, à condition que cette activité tienne compte des limitations du recourant, telles qu’elles ressortent de l’expertise du Dr S__________. La Dresse Q________ a certes indiqué un taux de capacité résiduelle plus faible que celui constaté par l’expert, soit entre 50% et 75% au maximum. Cela étant, la Cour de céans est d’avis qu’il n’est pas nécessaire, en l’état, de déterminer le taux de capacité qui doit être retenu, et ce pour les motifs qui suivent. On rappellera en effet que l’on ne saurait se fonder sur des possibilités de travail irréalistes. La Cour de céans constate en l’occurence que le recourant présente des limitations fonctionnelles importantes, puisqu’il ne peut ni marcher sans cannes plus de quelques mètres, ni maintenir une station debout plus de 15-30 minutes, ni rester assis sans bouger plus de 15-30 minutes, ni porter des charges en raison des cannes (même de 1kg), ni conduire des machines, y compris les tondeuses, ni travailler dans les pentes ou les terrains irréguliers, ni travailler sur des échelles ou des échafaudages, ni retourner le sol avec une bêche, ni piétiner ou marcher de façon prolongée, ni se tenir accroupi ou à genoux de façon prolongée, ni monter et descendre des pentes et/ou des escaliers de façon répétitive, ni conduire de façon prolongée en ville (rapport du Dr S__________ du 1er février 2010). Ainsi, dans la mesure où le recourant est dans l’impossibilité de maintenir durablement des positions de travail, force est de constater qu’il ne peut être réadapté dans l’économie libre. On soulignera au demeurant que les exemples concrets d’activités que l’intimée a donnés ne sont pas des activités adaptées aux limitations fonctionnelles. Ainsi, l’activité de jardinier sédentaire, de réceptionniste/téléphoniste, de gardien, de surveillant de musée, d’employé de régie et de gardiennage de parking, ne sont pas exigibles puisque le recourant ne peut rester assis plus de 15-30 minutes, ni se déplacer sans les cannes. On relèvera</w:t>
      </w:r>
    </w:p>
    <w:p>
      <w:r>
        <w:t>A/140/2011 - 15/16 - encore que c’est dans son rapport du 12 octobre 2005 que le Dr S__________ a cité ces activités, or à cette date-là, le recourant ne présentait pas encore de limitation dans la position assise. Enfin, la Cour de céans constate qu’en raison de la seule atteinte à la cheville droite, l’OAI a retenu que le recourant présentait déjà une incapacité de travail totale dans toute activité depuis le 1er janvier 2006, sans exiger de lui qu’il se remette au travail, ce alors que son état de santé n’était pas encore stabilisé. Compte tenu de ce qui précède, il convient de conclure que le recourant ne peut plus exploiter sa capacité résiduelle de travail sur le plan économique, de sorte qu’il en résulte une invalidité totale sur le plan professionnel. Enfin, s’agissant de la question de savoir si les troubles psychiques que présente le recourant sont en lien de causalité naturelle et adéquate avec l’événement assuré, la Cour de céans constate que celle-ci peut rester ouverte, dès lors que le recourant présente, quoi qu’il en soit, une invalidité totale en raison des seules atteintes à la cheville droite. En conséquence, le recourant a droit au versement d’une rente d’invalidité correspondant à un taux de 100% dès le 1er février 2010. 65. Le recours, bien fondé, sera par conséquent admis et la décision litigieuse sera annulée. Le recourant, qui obtient gain de cause, a droit à une indemnité à titre de participation à ses frais et dépens, que la Cour fixe en l'espèce à 1'000 fr. (art. 61 let. g LPGA ; art. 89H al. 3 LPA).</w:t>
      </w:r>
    </w:p>
    <w:p>
      <w:r>
        <w:t>A/140/2011 - 16/16 -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