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ATAS/1020/2024 vom 17. Dezember 2024</w:t>
      </w:r>
    </w:p>
    <w:p>
      <w:r>
        <w:t>GE Cour de justice, 2024-12-17, FR</w:t>
      </w:r>
    </w:p>
    <w:p>
      <w:r>
        <w:rPr>
          <w:b/>
        </w:rPr>
        <w:t xml:space="preserve">Quelle: </w:t>
      </w:r>
      <w:r>
        <w:t>https://mcp.opencaselaw.ch/entscheid/ge_gerichte_ATAS_1020_2024</w:t>
      </w:r>
    </w:p>
    <w:p>
      <w:r>
        <w:t>FR: GE_GERICHTE ATAS/1020/2024 du 17 décembre 2024</w:t>
      </w:r>
    </w:p>
    <w:p>
      <w:r>
        <w:t>IT: GE_GERICHTE ATAS/1020/2024 del 17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A/2964/2023 - 6/16 -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56 et 60 al. 1 LPGA) prévus par la loi, le recours contre la décision du 15 août 2023 est recevable.</w:t>
      </w:r>
    </w:p>
    <w:p>
      <w:r>
        <w:rPr>
          <w:b/>
        </w:rPr>
        <w:t>E. 2</w:t>
      </w:r>
    </w:p>
    <w:p>
      <w:r>
        <w:t>Le litige porte sur le droit de la recourante à une rente entière d'invalidité, singulièrement sur sa capacité de travail.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3.1.1</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3.1.2</w:t>
      </w:r>
    </w:p>
    <w:p>
      <w:r>
        <w:t>En l’occurrence, le litige porte sur la quotité de la rente d’invalidité, dont il n’est pas contesté que le droit est né postérieurement au 31 décembre 2021, de sorte que les dispositions légales applicables seront citées dans leur nouvelle teneur.</w:t>
      </w:r>
    </w:p>
    <w:p>
      <w:r>
        <w:rPr>
          <w:b/>
        </w:rPr>
        <w:t>E. 3.2.1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A/2964/2023 - 7/16 -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3.2.2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I.786/04 du 19 janvier 2006 consid. 3.1).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w:t>
      </w:r>
    </w:p>
    <w:p>
      <w:r>
        <w:t>A/2964/2023 - 8/16 -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w:t>
      </w:r>
    </w:p>
    <w:p>
      <w:r>
        <w:t>A/2964/2023 - 9/16 -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w:t>
      </w:r>
    </w:p>
    <w:p>
      <w:r>
        <w:rPr>
          <w:b/>
        </w:rPr>
        <w:t>E. 3.2.3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A/2964/2023 - 10/16 -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w:t>
      </w:r>
    </w:p>
    <w:p>
      <w:r>
        <w:t>A/2964/2023 - 11/16 -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l'intimé, en s'appuyant sur l'avis du SMR du 12 janvier 2023, lui- même fondé sur le rapport d'expertise psychiatrique du 9 décembre 2022, a mis la recourante au bénéfice d'une rente d'invalidité de 55%. Celle-ci conteste la valeur probante de cette expertise, et, en se basant sur les rapports de son psychiatre traitant, requiert une rente entière d'invalidité. Le rapport d'expertise repose sur les pièces médicales du dossier (p. 3-6), les plaintes et l'anamnèse (p. 7-19), l'examen clinique complété par des tests psychologiques ainsi que l'analyse sanguine et d'urines (p. 19-25), puis l'évaluation circonstanciée du cas (p. 26-43). L'expert a retenu les diagnostics, incapacitants, de troubles dépressifs récurrents moyens avec syndrome somatique depuis mai 2019 (F33.11), de trouble anxieux généralisé (F41.1), et de dépendance au cannabis avec utilisation continue et à la cocaïne avec utilisation épisodique (F19.2). Les diagnostics non incapacitants étaient le trouble mixte de la personnalité émotionnellement labile de type impulsif et anxieux (F61) ainsi que le trouble de l'attention avec hyperactivité depuis l'enfance (F90). Compte tenu de ces troubles psychiques et de dépendance, il convient de déterminer leur éventuel caractère incapacitant à la lumière des indicateurs jurisprudentiels (cf. consid. 3.2.2 ci-dessus). S’agissant de la catégorie « degré de gravité fonctionnelle », l'expert a objectivé sur la base de l'examen clinique et des tests psychométriques que les limitations fonctionnelles étaient modérées avec un impact modéré sur le quotidien (p. 39). La recourante, qui avait des capacités intellectuelles nettement au-dessus de la moyenne, présentait un ralentissement psychomoteur et des troubles de la concentration modérés, sans changement du traitement antidépresseur, ce qui plaidait contre la sévérité de son trouble (p. 28, 37). Le trouble de la personnalité et de l'attention n'étaient pas incapacitants, car en dépit de leur existence, la recourante n'avait pas été empêchée de travailler et de gérer son quotidien (p. 28- 29, 37). Il en allait de même de l'état de stress post-traumatique, qui était présent durant l'enfance en raison de maltraitances physiques, psychiques et sexuelles (p. 28), et qui avait favorisé les troubles de dépendance et de la personnalité (p. 37). S’agissant du « succès du traitement et de la réadaptation », la recourante a un suivi psychiatrique hebdomadaire et prend un traitement médicamenteux (p. 37). L'expert n'a pas constaté que celle-ci serait confrontée à un échec de toute thérapie</w:t>
      </w:r>
    </w:p>
    <w:p>
      <w:r>
        <w:t>A/2964/2023 - 12/16 - médicalement indiquée. Au contraire, il a préconisé un sevrage ainsi qu'un traitement antidépresseur différent, en précisant que ces mesures, exigibles, pouvaient améliorer la capacité de travail (p. 38, 42). S’agissant des « comorbidités » psychiatriques, elles entraînaient des limitations fonctionnelles modérées (p. 40). S’agissant du complexe de « la personnalité », le trouble mixte de la personnalité émotionnellement labile et anxieuse, présent depuis le début de l'âge adulte, n'avait pas entravé la recourante dans l'exercice d'une activité lucrative dans le passé ni dans la gestion de son quotidien (p. 40). En ce qui concerne le « contexte social », la recourante ne présentait pas un isolement social total (p. 40). Elle voyait sa tante une fois tous les deux mois, mais la contactait régulièrement par messages, de même que ses amies qu'elle rencontrait rarement (p. 16). Quant à la catégorie « cohérence », l'expert a relevé une discordance, dans la mesure où la recourante alléguait être en total incapacité, alors qu'elle ne présentait pas de limitations fonctionnelles sévères (p. 26). Elle était autonome dans les fonctions de la vie quotidienne. Son hygiène était bonne (p. 20). Elle gérait ses tâches administratives simples tout en étant aidée par son assistant social pour les tâches complexes, lesquelles n'étaient toutefois pas nombreuses. Elle faisait les courses, la lessive, le ménage et les repas à son rythme (p. 15, 18). Elle lisait parfois, écoutait de la musique, regardait des séries et vidéos (p. 16) ou dessinait (p. 17). Même si elle sortait rarement en raison de sa situation financière difficile, elle pouvait se déplacer seule, en transports publics, à pied ou à vélo (p. 17). Elle se promenait dans la nature et se baignait dans une cour intérieure en bas de chez elle, ce qui l'apaisaient (p. 9). En été 2022, elle était partie en vacances en Grèce, deux semaines, avec sa tante (p. 17). Compte tenu des indicateurs pertinents, il y a lieu d’admettre, avec l'expert, que la recourante dispose, sur le plan psychique, d’une capacité de travail de 50% dans toute activité. Certes, le début de la capacité de travail résiduelle ne peut pas être fixé, comme l'a fait l'expert, à mai 2019, au moment où la recourante était hospitalisée à C______ jusqu'au 18 juin 2019. Toutefois, cela, à lui seul, n'ôte pas la valeur probante de l'expertise pour ce qui est de l'évaluation de la capacité de travail résiduelle de la recourante, et n'a aucune incidence sur l'issue du litige. En effet, par avis du 11 août 2022, le SMR a expliqué que les conclusions du psychiatre traitant (rapport du 30 mai 2022), selon lesquelles la recourante était totalement inapte à travailler dans toute activité depuis 2011, ne pouvaient pas être suivies, car il faisait état d'une évolution clinique très satisfaisante. En tous les cas, le droit à la rente de la recourante ne peut naître au plus tôt que le 1er août 2022, à l'échéance de la période de six mois à compter du dépôt de la demande de prestations le 1er février 2022 (art. 29 al. 1 LAI), comme l'a retenu l'intimé.</w:t>
      </w:r>
    </w:p>
    <w:p>
      <w:r>
        <w:t>A/2964/2023 - 13/16 - L'avis du psychiatre traitant du 11 août 2023 n'est pas de nature à discréditer l'appréciation de l'expert. Pas plus que ne l'est l'avis du 8 août 2023 de G______, qui pratique la médecine traditionnelle chinoise. En effet, le premier se contente d'évoquer la consommation occasionnelle de cocaïne par la recourante à la suite de sa rechute, soit un élément connu de l'expert (p. 5, 7, 10, 22, 29). Quant au second, il rapporte des atteintes somatiques (au niveau dorsal et cervical ainsi que des migraines), l'état dépressif, le trouble de l'attention et le fait que la recourante reste souvent dans son lit. Il sera rappelé qu'une atteinte à la santé n'est en soi pas décisive. Est déterminante la répercussion sur la capacité de travail (résiduelle). Or, aucune pièce médicale n'atteste que les atteintes somatiques seraient incapacitantes. Dans son rapport du 13 septembre 2022, le médecin généraliste a uniquement mentionné les troubles de dépendance et l'état psychique de la recourante, soit des éléments qui ont été pris en compte par l'expert. De même, la dépression dont souffre la recourante, son trouble de l'attention et le fait qu'elle rencontre des difficultés à sortir de son lit étaient connus de l'expert (p. 7). En d'autres termes, ces spécialistes n'ont pas mis en évidence des éléments de nature clinique ou diagnostique qui auraient été ignorés par l'expert. Pour le surplus, la recourante ne peut pas valablement prétendre que l'expertise a été confiée à une intelligence artificielle, puisque son entretien avec l'expert a duré six heures (p. 2). L'expert n'a pas effectué un examen neuropsychologique, dès lors qu'il a constaté que cet examen était inutile puisque la recourante ne présentait pas de troubles cognitifs et les tests réalisés mettaient en évidence des capacités intellectuelles dans la moyenne haute, ainsi que des capacités de concentration (p. 23-24). Contrairement aux dires de la recourante, l'expert n'a pas nié l'existence d'un trouble de l'attention - présent « depuis » l'enfance, a-t-il dit, sur la base de l'anamnèse (p. 9) et non pas uniquement « durant » l'enfance. Il a indiqué le traitement suivi par la recourante depuis ses 16-17 ans (p. 9), et a relevé, au vu des résultats d'analyse sanguine et d'urines, que la recourante était sous-dosée (p. 22 et 29). Il n'a pas non plus nié l'existence d'un trouble de la personnalité. Il a toutefois expliqué les motifs pour lesquels il estimait que ces deux troubles n'étaient pas incapacitants, de même que les raisons pour lesquelles le diagnostic d'état de stress post-traumatique devait à présent être écarté, étant souligné que les deuils ayant affecté la recourante étaient connus de l'expert (p. 7). Ce dernier n'a pas non plus nié la présence d'un trouble dépressif. Sur la base de l'examen clinique complété par des tests ainsi que de la journée-type de la recourante, il a conclu que ce trouble était de degré modéré. En tant que la recourante s'étonne de l'appréciation de l'expert, elle procède à sa propre évaluation sans fournir d'éléments médicaux objectifs la motivant, de sorte qu'elle ne peut pas être prise en compte. Le fait que l'expert ne se soit pas entretenu avec le psychiatre traitant est également sans importance, puisque l'expert a étudié le rapport de son confrère et ses conclusions sont fondées sur ses observations, en connaissance des restrictions</w:t>
      </w:r>
    </w:p>
    <w:p>
      <w:r>
        <w:t>A/2964/2023 - 14/16 - psychiques de la recourante, ce qui a amené l'expert à conclure que cette dernière disposait d'une capacité de travail résiduelle de 50%. Et, contrairement à ce qu'elle prétend, l'intimé ne lui a pas nié l'octroi d'une rente. Il sera encore une fois rappelé que c'est l'influence d'une atteinte à la santé sur la capacité de travail qui est déterminante en matière d'assurance-invalidité. Or, la recourante donne son appréciation subjective de son état de santé sans produire de rapports médicaux remettant en cause celle - motivée - de l'expert. Les conclusions de l'expertise psychiatrique quant à la capacité de travail résiduelle de la recourante emportent ainsi la conviction.</w:t>
      </w:r>
    </w:p>
    <w:p>
      <w:r>
        <w:rPr>
          <w:b/>
        </w:rPr>
        <w:t>E. 4.2</w:t>
      </w:r>
    </w:p>
    <w:p>
      <w:r>
        <w:t>Reste à se prononcer sur le degré d'invalidité de la recourante, étant relevé qu'elle ne conteste pas le statut d'active (art. 24septies al. 2 let. a RAI) retenu par l'intimé (cf. dossier AI p. 171-172).</w:t>
      </w:r>
    </w:p>
    <w:p>
      <w:r>
        <w:rPr>
          <w:b/>
        </w:rPr>
        <w:t>E. 4.2.1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Ceci dit, la recourante est sans activité lucrative depuis en tout cas le 1er décembre 2008, date à compter de laquelle l'Hospice général lui accorde une aide financière. Dans ces circonstances, il convient de déterminer les revenus avec et sans invalidité en se référant aux données statistiques, telles qu'elles résultent de l'Enquête suisse sur la structure des salaires (ESS) publiée par l'Office fédéral de la statistique (ATF 126 V 76 consid. 3b/aa et bb ; arrêt du Tribunal fédéral I.418/03 du 23 septembre 2003 consid. 6.2). Lorsque les revenus avec et sans invalidité sont ainsi basés sur la même tabelle statistique, il est superflu de les chiffrer avec exactitude. En pareil cas, le degré d'invalidité se confond avec celui de l'incapacité de travail, sous réserve d'une éventuelle réduction du revenu d'invalide (arrêt du Tribunal fédéral I.368/04 du 28 juillet 2005).</w:t>
      </w:r>
    </w:p>
    <w:p>
      <w:r>
        <w:rPr>
          <w:b/>
        </w:rPr>
        <w:t>E. 4.2.2</w:t>
      </w:r>
    </w:p>
    <w:p>
      <w:r>
        <w:t>En l'occurrence, comme on l'a vu supra, la recourante dispose d'une capacité de travail de 50% dans toute activité. L'intimé a appliqué un abattement de 10% pour tenir compte du travail à temps partiel (art. 26bis al. 3 RAI dans sa teneur en vigueur du 1er janvier 2022 au 31 décembre 2023 ici applicable). Ni les limitations fonctionnelles de la recourante (qui ont déjà été prises en compte dans l'évaluation</w:t>
      </w:r>
    </w:p>
    <w:p>
      <w:r>
        <w:t>A/2964/2023 - 15/16 - de sa capacité de travail résiduelle), ni sa nationalité (suisse) ni son âge (53 ans au moment de la décision litigieuse) vu qu'elle dispose d'une certaine capacité d'adaptation sur le plan professionnel compte tenu des diverses activités lucratives qu'elle a exercées (dossier OAI p. 19, 22-26, 127) ne justifient une réduction supplémentaire du revenu d'invalide (cf. arrêt du Tribunal fédéral 8C_823/2023 du 8 juillet 2024 consid. 10.6 ; cf. ATF 148 V 174 consid. 6.3 pour les facteurs de réduction et le taux maximum de l'abattement [25%]). Ainsi, au vu d'une incapacité de travail de 50% et d'un abattement du revenu d'invalide de 10%, il résulte un degré d'invalidité de 55% comme retenu par l'intimé (50% + [10% de 50%] = 50% + 5% = 55%).</w:t>
      </w:r>
    </w:p>
    <w:p>
      <w:r>
        <w:rPr>
          <w:b/>
        </w:rPr>
        <w:t>E. 5</w:t>
      </w:r>
    </w:p>
    <w:p>
      <w:r>
        <w:t>En conséquence, le recours sera rejeté et la recourante condamnée au paiement d'un émolument de CHF 200.- (art. 69 al.1bis LAI). La recourante, qui succombe, n'a pas droit à des dépens (art. 61 let. g LPGA a contrario).</w:t>
      </w:r>
    </w:p>
    <w:p>
      <w:r>
        <w:t>A/2964/2023 - 16/16 -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