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ATAS/1020/2023 vom 20. Dezember 2023</w:t>
      </w:r>
    </w:p>
    <w:p>
      <w:r>
        <w:t>GE Cour de justice, 2023-12-20, FR</w:t>
      </w:r>
    </w:p>
    <w:p>
      <w:r>
        <w:rPr>
          <w:b/>
        </w:rPr>
        <w:t xml:space="preserve">Quelle: </w:t>
      </w:r>
      <w:r>
        <w:t>https://mcp.opencaselaw.ch/entscheid/ge_gerichte_ATAS_1020_2023</w:t>
      </w:r>
    </w:p>
    <w:p>
      <w:r>
        <w:t>FR: GE_GERICHTE ATAS/1020/2023 du 20 décembre 2023</w:t>
      </w:r>
    </w:p>
    <w:p>
      <w:r>
        <w:t>IT: GE_GERICHTE ATAS/1020/2023 del 20 dicembre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A/3113/2020 - 3/4 -</w:t>
      </w:r>
    </w:p>
    <w:p>
      <w:r>
        <w:rPr>
          <w:b/>
        </w:rPr>
        <w:t>E. 2</w:t>
      </w:r>
    </w:p>
    <w:p>
      <w:r>
        <w:t>En l’absence d’un accord entre les parties sur le choix des experts, la mise en œuvre d’une expertise doit revêtir la forme d’une décision au sens de l’art. 49 LPGA correspondant à la notion de décision selon l’art. 5 de la loi fédérale sur la procédure administrative du 20 décembre 1968 (PA - RS 172.02), laquelle est sujette à recours (ATF 137 V 210 consid. 3.4.2.6 et 3.4.2.7). Le délai de recours est de trente jours (art. 56 LPGA; art. 62 al. 1 de la loi sur la procédure administrative du 12 septembre 1985 [LPA - E 5 10]). Le recours a été interjeté dans les délai et forme prescrits par la loi et contre une décision sujette à recours, il est recevable.</w:t>
      </w:r>
    </w:p>
    <w:p>
      <w:r>
        <w:rPr>
          <w:b/>
        </w:rPr>
        <w:t>E. 3</w:t>
      </w:r>
    </w:p>
    <w:p>
      <w:r>
        <w:t>Le litige porte sur le bien-fondé de la décision de l’intimée désignant le Dr KOHUT comme expert.</w:t>
      </w:r>
    </w:p>
    <w:p>
      <w:r>
        <w:rPr>
          <w:b/>
        </w:rPr>
        <w:t>E. 4</w:t>
      </w:r>
    </w:p>
    <w:p>
      <w:r>
        <w:t>Selon l'art. 50 al. 1 LPGA, les litiges portant sur des prestations d'assurances sociales peuvent être réglés par transaction, y compris durant la procédure de recours (al. 3). La décision par laquelle le juge des assurances sociales appelé à se prononcer sur une convention conclue par les parties en vertu de cette disposition doit s’assurer que rien ne s’oppose à l’approbation de la transaction, du point de vue de la concordance des volontés des parties à mettre fin à la procédure de cette manière comme de l’adéquation de son contenu à l’état de fait de la cause et de sa conformité aux dispositions légales applicables (ATF 135 V 65).</w:t>
      </w:r>
    </w:p>
    <w:p>
      <w:r>
        <w:rPr>
          <w:b/>
        </w:rPr>
        <w:t>E. 5</w:t>
      </w:r>
    </w:p>
    <w:p>
      <w:r>
        <w:t>En l'espèce, les parties ont réglé le litige en tombant d’accord sur des experts. Cette transaction paraît conforme au droit fédéral, sur la base d'un examen sommaire des pièces au dossier et des arguments des parties, de sorte qu'il convient d'en prendre acte. Elle vide le présent litige de son objet, de sorte que la cause doit être rayée du rôle (ATF 135 V 65). Au vu de l’attitude conciliante de l’intimée, qui a proposé une solution alternative, sans que l’on puisse affirmer que la décision querellée ait été prise contrairement au droit, il sera renoncé à octroyer des dépens au recourant. La procédure est gratuite (art. 61 let. fbis a contrario LPGA).</w:t>
      </w:r>
    </w:p>
    <w:p>
      <w:r>
        <w:t>A/3113/2020 - 4/4 -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