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ATAS/101/2015 vom 5. Februar 2015</w:t>
      </w:r>
    </w:p>
    <w:p>
      <w:r>
        <w:t>GE Cour de justice, 2015-02-05, FR</w:t>
      </w:r>
    </w:p>
    <w:p>
      <w:r>
        <w:rPr>
          <w:b/>
        </w:rPr>
        <w:t xml:space="preserve">Quelle: </w:t>
      </w:r>
      <w:r>
        <w:t>https://mcp.opencaselaw.ch/entscheid/ge_gerichte_ATAS_101_2015</w:t>
      </w:r>
    </w:p>
    <w:p>
      <w:r>
        <w:t>FR: GE_GERICHTE ATAS/101/2015 du 5 février 2015</w:t>
      </w:r>
    </w:p>
    <w:p>
      <w:r>
        <w:t>IT: GE_GERICHTE ATAS/101/2015 del 5 febbraio 2015</w:t>
      </w:r>
    </w:p>
    <w:p>
      <w:pPr>
        <w:pStyle w:val="Heading2"/>
      </w:pPr>
      <w:r>
        <w:t>Erwägungen</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A/3339/2013 - 12/19 -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A/3339/2013 - 13/19 -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l’intimé a considéré que l’exercice à plein temps d’une activité adaptée était exigible du recourant, se basant pour cela sur l’expertise du Dr E______, ainsi que sur le rapport établi par le Dr F_____, du SMR, le 22 janvier 2013. Quant au recourant, il soutient que son état de santé ne lui permet pas de travailler à plus de 50%, quelle que soit l’activité professionnelle. A titre liminaire, il convient de relever que les parties s’accordent avec raison sur le fait que la capacité de travail du recourant est nulle dans son activité habituelle de peintre en bâtiment, le port régulier de charges et les efforts physiques inhérents à ce métier étant incompatibles avec les troubles cardiaques dont souffre l’intéressé. Dans la mesure où le Dr F_____ s’est fondé sur l’expertise du Dr E______ pour établir son rapport du 22 janvier 2013, la question de la valeur probante de son avis peut rester ouverte. En réalité, les parties s’opposent sur la portée de l’expertise du Dr E______, en particulier sur la conclusion selon laquelle la capacité de travail du recourant dans une activité adaptée pourrait atteindre 50 à 100%, en fonction du type d’activité. La chambre de céans constate que l’expertise du Dr E______ répond aux réquisits jurisprudentiels en matière de valeur probante : elle se fonde sur un examen du recourant, sur des examens complémentaires et l’étude du dossier médical ; l’anamnèse, l’évolution de la maladie, les plaintes de l’assuré et les constats objectifs de l’expert sont clairement exposés ; les diagnostics sont clairs et cohérents avec le dossier médical ; les conclusions quant à la capacité de travail et</w:t>
      </w:r>
    </w:p>
    <w:p>
      <w:r>
        <w:t>A/3339/2013 - 14/19 - aux limitations fonctionnelles sont bien motivées ; l’appréciation du cas par le Dr E______ permet de comprendre les troubles cardiaques dont le recourant souffre et leurs conséquences sur sa capacité de travail. Il est vrai qu’une probable erreur de plume s’est glissée dans l’expertise : l’expert retient que l’incapacité de travail a débuté en juin 2011, alors que les éléments du dossier montrent qu’elle a débuté le 8 juillet 2011, ce que l’intimé a retenu avec raison. Cette erreur n’est toutefois pas de nature à remettre en cause la valeur probante du reste de l’expertise. Le recourant conteste les conclusions de cette expertise en tant qu’elles concernent la capacité de travail qu’il pourrait atteindre dans une activité adaptée. Il invoque les avis des Drs B______ et C______, selon lesquels cette capacité ne saurait excéder 50%. Toutefois, les avis de ces médecins ne sauraient être suivis. Les rapports du Dr B______ sont trop brefs et pas suffisamment motivés pour permettre de remettre en cause l’expertise du Dr E______. La capacité de travail de 50% n’est ni justifiée ni expliquée. De plus, les rapports des 29 octobre 2013 et 27 juin 2014 sont postérieurs à la décision querellée et en partie fondés sur les plaintes du recourant, de sorte que leur objectivité n’est pas suffisante. Quant au rapport du Dr C______ du 30 novembre 2011, il a été établi avant le remplacement de la valve aortique et la stabilisation de l’état de santé du recourant, de sorte que l’on ne peut se fonder sur ses conclusions pour contester l’expertise du Dr E______. D’autant que le Dr C______ estimait possible que le recourant retrouve une pleine capacité de travail dans une activité adaptée après son opération. Pour le reste, l’allégation du recourant selon laquelle son état de santé se serait aggravé, n’est pas étayée et aucun élément objectif ne permet de rendre plausible une telle aggravation. Dans ces circonstances, il convient de se rallier aux conclusions de l’expert et de retenir une totale incapacité de travail dans l’activité habituelle depuis juillet 2011 et une capacité de 50 à 100% dans une activité adaptée, en fonction des exigences physiques requises par le poste de travail proposé, depuis mai 2012. Puisque la mesure d’orientation professionnelle a permis de valider des pistes professionnelles dans des activités légères, l’intimé était légitimé à considérer que l’assuré avait recouvré une capacité de travail pleine et entière à compter de juin 2012. En tout état de cause, même si ces pistes professionnelles ne pouvaient être suivies, le marché du travail offre un éventail d’activités légères ne requérant que peu ou pas de formation spécifique suffisamment large pour que le recourant puisse trouver un emploi lui permettant de mettre à profit sa pleine capacité de travail. Compte tenu de ce qui précède, la capacité de travail du recourant a été évaluée de manière conforme au droit par l’intimé.</w:t>
      </w:r>
    </w:p>
    <w:p>
      <w:r>
        <w:t>A/3339/2013 - 15/19 -</w:t>
      </w:r>
    </w:p>
    <w:p>
      <w:r>
        <w:rPr>
          <w:b/>
        </w:rPr>
        <w:t>E. 11</w:t>
      </w:r>
    </w:p>
    <w:p>
      <w:r>
        <w:t>Le recourant conteste également le calcul de son degré d’invalidité, estimant que qu’une réduction de 10% est insuffisante au vu de sa situation (travail à temps partiel, difficultés en français et limitations fonctionnelles). Comme indiqué précédemment, le recourant doit se voir reconnaître une capacité de travail pleine et entière dans une activité adaptée à ses limitations fonctionnelles, de sorte que l’on ne saurait retenir l’obligation de travailler à temps partiel comme un facteur de réduction du revenu d’invalide. Quant aux difficultés linguistiques, elles ne sauraient non plus être retenues à ce titre, d’autant que le recourant séjourne et travaille à Genève depuis plus de neuf ans et qu’il a des connaissances de base en français, principalement orales, et qu’il n’a pas donné suite aux invitations de l’ORIF à suivre des cours de français. Enfin, il apparaît qu’en appliquant un abattement de 10%, l’intimé a d’ores et déjà tenu compte, dans l’exercice de son large pouvoir d’appréciation, des limitations fonctionnelles du recourant et du fait que son reclassement n’est possible que dans une activité légère, répétitive et ne requérant pas de formation particulière. Rien en l’espèce ne permet à la chambre de céans de considérer le taux retenu comme insuffisant. Au contraire, celui-ci semble adéquat et doit être confirmé, de même que le calcul du degré d’invalidité dans son ensemble, lequel n’est d’ailleurs pas contesté.</w:t>
      </w:r>
    </w:p>
    <w:p>
      <w:r>
        <w:rPr>
          <w:b/>
        </w:rPr>
        <w:t>E. 12</w:t>
      </w:r>
    </w:p>
    <w:p>
      <w:r>
        <w:t>Le recourant conclut également à l’octroi d’une mesure de reclassement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w:t>
      </w:r>
    </w:p>
    <w:p>
      <w:r>
        <w:t>A/3339/2013 - 16/19 -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b)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c)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d) Selon l’art.17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w:t>
      </w:r>
    </w:p>
    <w:p>
      <w:r>
        <w:t>A/3339/2013 - 17/19 -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13</w:t>
      </w:r>
    </w:p>
    <w:p>
      <w:r>
        <w:t>En l’occurrence, le recourant présente un degré d’invalidité de 28%, taux suffisant, au regard de la jurisprudence, pour lui ouvrir en principe le droit à une mesure de reclassement. Cela étant, le recourant a déjà bénéficié d’une mesure d’orientation professionnelle, ce qui a permis de déterminer que les métiers de la petite fabrication et de conditionnement dans l’industrie légère étaient adaptés à ses limitations fonctionnelles. Or, aucune formation n’est nécessaire pour l’accès à ces métiers, de sorte que le recourant est en mesure d’entreprendre des recherches d’emploi et de trouver un travail dans les domaines précités, de son propre chef et sans aucune aide. En tout état de cause, compte tenu de l’éventail d’activités légères adaptées que le recourant pourrait exercer sans qu’une formation ne soit nécessaire, aucune autre mesure professionnelle n’est utile.</w:t>
      </w:r>
    </w:p>
    <w:p>
      <w:r>
        <w:t>A/3339/2013 - 18/19 - Rappelons encore qu’à teneur de la jurisprudence du Tribunal fédéral, un assuré ne peut prétendre à une formation d’un niveau supérieur à celui de son ancienne activité. Or, le recourant n’a suivi aucune formation au Portugal ou en Suisse, de sorte qu’il ne peut prétendre à la prise en charge d’une formation, laquelle serait de facto d’un niveau supérieur à celui de l’apprentissage de son métier auprès de son employeur à Genève. Par conséquent, l’octroi d’une mesure de reclassement au recourant n’est pas justifié.</w:t>
      </w:r>
    </w:p>
    <w:p>
      <w:r>
        <w:rPr>
          <w:b/>
        </w:rPr>
        <w:t>E. 14</w:t>
      </w:r>
    </w:p>
    <w:p>
      <w:r>
        <w:t>Au vu de ce qui précède, le recours est rejeté. Etant donné que depuis le 1er juillet 2006, la procédure n'est plus gratuite (art. 69 al. 1bis LAI), il y a lieu de condamner le recourant au paiement d'un émolument de CHF 200.-.</w:t>
      </w:r>
    </w:p>
    <w:p>
      <w:r>
        <w:t>A/3339/2013 - 19/19 -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