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ATAS/101/2012 vom 7. Februar 2012</w:t>
      </w:r>
    </w:p>
    <w:p>
      <w:r>
        <w:t>GE Cour de justice, 2012-02-07, FR</w:t>
      </w:r>
    </w:p>
    <w:p>
      <w:r>
        <w:rPr>
          <w:b/>
        </w:rPr>
        <w:t xml:space="preserve">Quelle: </w:t>
      </w:r>
      <w:r>
        <w:t>https://mcp.opencaselaw.ch/entscheid/ge_gerichte_ATAS_101_2012</w:t>
      </w:r>
    </w:p>
    <w:p>
      <w:r>
        <w:t>FR: GE_GERICHTE ATAS/101/2012 du 7 février 2012</w:t>
      </w:r>
    </w:p>
    <w:p>
      <w:r>
        <w:t>IT: GE_GERICHTE ATAS/101/2012 del 7 febbraio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t>A/2905/2011 - 9/12 -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le recours est recevable (art. 5, 56 et 60 LPGA ; art. 89B de la loi sur la procédure administrative, du 12 septembre 1985 – LPA ; RS E 5 10).</w:t>
      </w:r>
    </w:p>
    <w:p>
      <w:r>
        <w:rPr>
          <w:b/>
        </w:rPr>
        <w:t>E. 4</w:t>
      </w:r>
    </w:p>
    <w:p>
      <w:r>
        <w:t>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e. les pourboires, s’ils représentent une part importante du salaire; f. les prestations en nature ayant un caractère régulier; g. les provisions et les commissions, etc.</w:t>
      </w:r>
    </w:p>
    <w:p>
      <w:r>
        <w:rPr>
          <w:b/>
        </w:rPr>
        <w:t>E. 5</w:t>
      </w:r>
    </w:p>
    <w:p>
      <w:r>
        <w:t>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w:t>
      </w:r>
    </w:p>
    <w:p>
      <w:r>
        <w:t>A/2905/2011 - 10/12 -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sv. consid. 4b). En outre, la possibilité pour le travailleur d'organiser son horaire de travail ne signifie pas nécessairement qu'il s'agit d'une activité indépendante (VSI 1996 p. 257 sv. consid. 3c). c) Le revenu d'une activité indépendante comprend tout revenu du travail autre que la rémunération pour un travail accompli dans une situation dépendante (art. 9 al. 1 LAVS). Les indices caractéristiques d'une activité indépendante résident dans la mise en œuvre d'investissements d'une certaine importance, l'usage de ses propres locaux de travail et l'engagement de son personnel (ATF 119 V 163 consid. 3b). Le risque particulier de l'entrepreneur découle du fait que, quel que soit le résultat de son activité, il doit supporter les coûts de son entreprise, en particulier les frais généraux, pertes, risques d'encaissement et de ducroire (Greber/Duc/Scartazzini, Commentaire des articles 1 à 16 de la loi fédérale sur l'assurance-vieillesse et survivants [LAVS], ad. art. 5 LAVS, n° 111 p. 181; Rudolf Rüedi, Die Abgrenzung zwischen selbständiger und unselbständiger Erwerbstätigkeit, in: Aktuelle Fragen aus dem Beitragsrecht der AHV, Referate der Tagung des Schweizerischen Instituts für Verwaltungskurse vom 28. November 1997 in Luzern, Schaffhauser/Kieser (éd.), St. Gallen, 1998, p. 131 s.; cf. en outre ATF 123 V 162 s. consid. 1 et les références). d) Certaines activités ne requièrent par nature pas "d'investissements élevés" (comme par exemple celles de conseiller ou de collaborateur libre). Le rapport de dépendance est alors mis au premier plan (RCC 1984, page 231; ATF 110 V 72).</w:t>
      </w:r>
    </w:p>
    <w:p>
      <w:r>
        <w:t>A/2905/2011 - 11/12 -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w:t>
      </w:r>
    </w:p>
    <w:p>
      <w:r>
        <w:rPr>
          <w:b/>
        </w:rPr>
        <w:t>E. 6</w:t>
      </w:r>
    </w:p>
    <w:p>
      <w:r>
        <w:t>Dans le cas d'espèce, l'examen des pièces produites ainsi que l'audition des deux intéressées ont permis d'établir que le revenu réalisé par l'assurée par son activité de logopédiste du 1er avril 2008 au 30 juin 2010, remplaçant la titulaire au sein du cabinet de logopédie, n'est pas du salaire au sens de la LAVS, mais le revenu d'une activité indépendante. L'assurée encourait le risque, relatif, - au même titre que la titulaire - d'encaissement des factures et de recherche de nouveaux clients; elle a acquis le matériel nécessaire à son activité, partageant avec les autres associées le matériel existant; elle a participé au loyer (en qualité de sous-locataire) et aux charges communes du cabinet en proportion de son taux d'activité - à l'instar des deux autres associées - ; elle n'a jamais reçu d'instruction de la titulaire et le partage des locaux de même que l'organisation du cabinet étaient discutés avec l'autre associée, à l'exclusion de la titulaire, absente. L'assurée n'avait pas de temps de présence imposé, mais devait - comme c'était le cas des deux autres associées - discuter du partage des locaux. Il s'avère finalement que la clause du contrat exigeant diligence avait pour but de préserver la bonne réputation du cabinet et que celle afférente aux locaux et au matériel relevaient plus d'une obligation imposée en vertu d'un contrat de sous-location. De même, si l'assurée était restée exercer à Genève, elle serait vraisemblablement demeurée au cabinet, associée à la titulaire et aurait alors conservé les mandats en cours. Finalement, l'assurée est considérée comme indépendante par la caisse de compensation du canton de Vaud, pour une activité identique à celle initialement litigieuse. Ainsi, tant la volonté des parties que les éléments objectifs permettent d'établir que l'activité d'employée par l'assurée doit être qualifiée d'indépendante. C'est ainsi à juste titre que la caisse a finalement admis que sa décision était erronée.</w:t>
      </w:r>
    </w:p>
    <w:p>
      <w:r>
        <w:rPr>
          <w:b/>
        </w:rPr>
        <w:t>E. 7</w:t>
      </w:r>
    </w:p>
    <w:p>
      <w:r>
        <w:t>Ainsi, le recours est admis, la décision du 25 août 2011 est annulée, l'affiliation de l'assurée en qualité d'indépendante étant justifiée. La procédure est gratuite.</w:t>
      </w:r>
    </w:p>
    <w:p>
      <w:r>
        <w:t>A/2905/2011 - 12/12 -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