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ATAS/101/2010 vom 31. August 2009</w:t>
      </w:r>
    </w:p>
    <w:p>
      <w:r>
        <w:t>GE Cour de justice, 2009-08-31, FR</w:t>
      </w:r>
    </w:p>
    <w:p>
      <w:r>
        <w:rPr>
          <w:b/>
        </w:rPr>
        <w:t xml:space="preserve">Quelle: </w:t>
      </w:r>
      <w:r>
        <w:t>https://mcp.opencaselaw.ch/entscheid/ge_gerichte_ATAS_101_2010</w:t>
      </w:r>
    </w:p>
    <w:p>
      <w:r>
        <w:t>FR: GE_GERICHTE ATAS/101/2010 du 31 août 2009</w:t>
      </w:r>
    </w:p>
    <w:p>
      <w:r>
        <w:t>IT: GE_GERICHTE ATAS/101/2010 del 31 agosto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w:t>
      </w:r>
    </w:p>
    <w:p>
      <w:r>
        <w:t>A/215/2010 3/6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a) Il convient de rappeler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tous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S'il dispose de sérieux indices que l'un ou l'autre des conjoints a droit à des expectatives de prévoyance qui n'ont pas été prises en compte par le juge du divorce lorsque celui-ci a fixé la clé de répartition du partage au sens de l'art. 122 CC, le juge administratif doit instruire ce point. Il exécutera ensuite le partage prévu avec, cas échéant, des prestations plus importantes que celles prises en considération dans la procédure de divorce (ATF 133 V 147).</w:t>
      </w:r>
    </w:p>
    <w:p>
      <w:r>
        <w:t>b) Cela étant, il existe des cas où il n’est pas possible de procéder à un partage des prestations de sortie conformément à l’art. 122 al. 1 CC, étant rappelé que seules les</w:t>
      </w:r>
    </w:p>
    <w:p>
      <w:r>
        <w:t>A/215/2010 4/6 prétentions issues de rapports de prévoyance soumis à la loi sur le libre passage doivent être en principe partagées en cas de divorce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Zürich 1999, p. 52).</w:t>
      </w:r>
    </w:p>
    <w:p>
      <w:r>
        <w:t>Le principal cas d’impossibilité est la survenance d’un cas de prévoyance. Il y a également impossibilité de procéder au partage lorsque l’un des conjoints est affilié auprès d’une institution de prévoyance à l’étranger ou dans une institution de prévoyance non soumise à la LFLP (J.-A. SCHNEIDER, C. BRUCHEZ, La prévoyance professionnelle et le divorce, in Le nouveau droit du divorce, 2000, p. 240-241). Dans ces cas, une indemnité équitable au sens de l’art. 124 CC sera due (coir aussi ATF 129 V 447, consid. 5.1 et les références, 127 III 437 consid. 2b et les références).</w:t>
      </w:r>
    </w:p>
    <w:p>
      <w:r>
        <w:t>A cet égard, le Tribunal de céans a déjà jugé que la caisse de pension des Nations Unies n’étant pas soumise au droit suisse, les prestations servies à ses membres ne constituent pas des avoirs partageables au sens de l’art. 122 CC. Le partage ordonné par le juge du divorce est ainsi inexécutable, même si le demandeur dispose aussi d’un capital de libre passage auprès d’une institution de prévoyance suisse (ATAS/1049/2006 du 16 novembre 2006 et ATAS/950/2006 du 26 octobre 2006). Le Tribunal fédéral en a jugé de même s’agissant de l’institution de prévoyance de l’OMC et relevé que la circonstance que le partage ne peut avoir lieu parce que l’institution de prévoyance n’est pas soumise au droit suisse est un cas dans lequel l’art. 124 CC trouve application (ATF du 4 février 2008 5A_623/07 et du 28 avril 2008 5A_83/08).</w:t>
      </w:r>
    </w:p>
    <w:p>
      <w:r>
        <w:rPr>
          <w:b/>
        </w:rPr>
        <w:t>E. 5</w:t>
      </w:r>
    </w:p>
    <w:p>
      <w:r>
        <w:t>En l’espèce, le demandeur, qui travaille en Suisse depuis 1999, est certes affilié auprès d’une institution de prévoyance soumise au droit suisse. Il s’était par ailleurs déclaré d’accord, dans le cadre de la procédure de divorce, de verser la moitié de ses avoirs de prévoyance acquis en Suisse sur un compte de libre passage de la demanderesse. Cette dernière a cependant requis la prise en compte de la période où son ex-époux a exercé son activité professionnelle en France. Le juge du divorce a accédé à cette requête, puisqu’il a ordonné le partage de l’ensemble des avoirs de prévoyance cumulés par le demandeur de 1976 à 2009. Par conséquent, le partage par moitié des avoirs de prévoyance professionnelle ordonnée par le juge civil est inexécutable, quand bien même le demandeur dispose d’une prestation de libre passage auprès d’une institution de prévoyance suisse. Les demandeurs sont invités à mieux agir devant le juge civil par la voie de la révision, afin qu’il statue sur l’indemnité équitable au sens de l’art. 124 al. 1 CC.</w:t>
      </w:r>
    </w:p>
    <w:p>
      <w:r>
        <w:t>A/215/2010 5/6</w:t>
      </w:r>
    </w:p>
    <w:p>
      <w:r>
        <w:rPr>
          <w:b/>
        </w:rPr>
        <w:t>E. 6</w:t>
      </w:r>
    </w:p>
    <w:p>
      <w:r>
        <w:t>Aucun émolument ne sera perçu, la procédure étant gratuite (art. 73 al. 2 LPP et 89H al. 1 de la loi sur la procédure administrative du 12 septembre 1985).</w:t>
      </w:r>
    </w:p>
    <w:p>
      <w:r>
        <w:t>***</w:t>
      </w:r>
    </w:p>
    <w:p>
      <w:r>
        <w:t>A/215/2010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