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ATAS/1019/2023 vom 20. Dezember 2023</w:t>
      </w:r>
    </w:p>
    <w:p>
      <w:r>
        <w:t>GE Cour de justice, 2023-12-20, FR</w:t>
      </w:r>
    </w:p>
    <w:p>
      <w:r>
        <w:rPr>
          <w:b/>
        </w:rPr>
        <w:t xml:space="preserve">Quelle: </w:t>
      </w:r>
      <w:r>
        <w:t>https://mcp.opencaselaw.ch/entscheid/ge_gerichte_ATAS_1019_2023</w:t>
      </w:r>
    </w:p>
    <w:p>
      <w:r>
        <w:t>FR: GE_GERICHTE ATAS/1019/2023 du 20 décembre 2023</w:t>
      </w:r>
    </w:p>
    <w:p>
      <w:r>
        <w:t>IT: GE_GERICHTE ATAS/1019/2023 del 20 dicembre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w:t>
      </w:r>
    </w:p>
    <w:p>
      <w:r>
        <w:rPr>
          <w:b/>
        </w:rPr>
        <w:t>E. 3</w:t>
      </w:r>
    </w:p>
    <w:p>
      <w:r>
        <w:t>S’agissant de la recevabilité des recours, les décisions attaquées ont été reçues le 16 février 2023. Le délai de recours de 30 jours a ainsi commencé à courir le 17 février, conformément à l’art. 38 al. 1 LPGA, applicable par renvoi de l’art. 60 al. 2 LPGA. Il a échu le samedi 18 mars 2023, de sorte qu’il a été reporté au premier jour ouvrable suivant en vertu de l’art. 38 al. 3 LPGA, soit le lundi 20 mars 2023. Le recourant ayant produit le récépissé de dépôt de son envoi auprès de la Poste à cette date (cf. art. 39 al. 1 LPGA), les recours ne sont pas tardifs. Cependant, s’agissant du recours dirigé contre la décision allouant une rente entière d’invalidité assortie de rentes complémentaires pour enfant du 1er octobre 2019 au 31 mai 2020, sa recevabilité est douteuse. En effet, la qualité pour recourir – qui est une condition de recevabilité du recours (Jean METRAL in Commentaire romand LPGA, nn. 1 et 11 ad art. 59) – suppose conformément à l’art. 59 LPGA que le recourant ait un intérêt digne d'être protégé à ce que la décision soit annulée ou modifiée. L'intérêt digne de protection consiste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 Dans la mesure où la décision portant sur la période d’octobre 2019 à mai 2020 alloue au recourant les prestations maximales prévues par la loi, celui-ci ne contestant du reste que la détermination de son taux d’invalidité dès le 1er juin 2020, le recours contre cette première décision est irrecevable faute d’intérêt à son admission. Les recours contre les deux autres décisions du 14 février 2023 sont en revanche recevables.</w:t>
      </w:r>
    </w:p>
    <w:p>
      <w:r>
        <w:rPr>
          <w:b/>
        </w:rPr>
        <w:t>E. 4</w:t>
      </w:r>
    </w:p>
    <w:p>
      <w:r>
        <w:t>Le litige porte sur le degré d’invalidité du recourant dès le 1er juin 2020. Le droit à la rente complémentaire pour la fille aînée du recourant n’est plus litigieux.</w:t>
      </w:r>
    </w:p>
    <w:p>
      <w:r>
        <w:t>A/1035/2023 - 9/17 - S’agissant des modalités du versement de la rente – notamment le point de savoir si les rentes complémentaires destinées aux enfants doivent être versées au recourant ou en mains de la mère des enfants –, on rappellera que le versement des rentes fait partie des attributions des caisses de compensation selon l’art. 60 al. 1 let. c LAI, et que la Caisse a en l’espèce annoncé qu’elle rendrait une décision à ce sujet ultérieurement. Ce point ne fait ainsi pas non plus partie du litige.</w:t>
      </w:r>
    </w:p>
    <w:p>
      <w:r>
        <w:rPr>
          <w:b/>
        </w:rPr>
        <w:t>E. 5</w:t>
      </w:r>
    </w:p>
    <w:p>
      <w:r>
        <w:t>Il convient en préambule de rappeler ce qui suit au sujet du droit applicable.</w:t>
      </w:r>
    </w:p>
    <w:p>
      <w:r>
        <w:rPr>
          <w:b/>
        </w:rPr>
        <w:t>E. 5.1</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 L’art. 29 LAI dispose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Le droit ne prend pas naissance tant que l’assuré peut faire valoir son droit à une indemnité journalière au sens de l’art. 22 (al. 2). Conformément au principe selon lequel la réadaptation prime la rente, ancré à l’art. 28 al. 1 let. a LAI, le droit à la rente ne peut en principe naître que lorsque toutes les possibilités de réadaptation, dont les mesures de réinsertion, ont été épuisées. Le fait que les mesures de réadaptation n’aient été que partiellement, voire pas du tout efficaces, est sans incidence sur cet état de fait. Néanmoins, avant ce moment, un droit (temporaire) à la rente peut exceptionnellement naître si l’assuré n’était pas ou pas encore apte à la réadaptation (ATF 148 V 397 consid. 6.2.4 ; arrêt du Tribunal fédéral 9C_380/2021 du 31 janvier 2022 consid. 5.1).</w:t>
      </w:r>
    </w:p>
    <w:p>
      <w:r>
        <w:rPr>
          <w:b/>
        </w:rPr>
        <w:t>E. 5.2</w:t>
      </w:r>
    </w:p>
    <w:p>
      <w:r>
        <w:t>La LAI a connu une novelle le 19 juin 2020, entrée en vigueur le 1er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L’art. 28b LAI, en vigueur depuis le 1er janvier 2022, dispose que la quotité de la rente est fixée en pourcentage d’une rente entière (al. 1). Pour un taux d’invalidité compris entre 50 et 69 %, la quotité de la rente correspond au taux d’invalidité (al. 2). Pour un taux d’invalidité</w:t>
      </w:r>
    </w:p>
    <w:p>
      <w:r>
        <w:t>A/1035/2023 - 10/17 - supérieur ou égal à 70 %, l’assuré a droit à une rente entière (al. 3). La lettre b des dispositions transitoires relatives à cette modification prévoit notamment que pour les bénéficiaires de rente dont le droit à la rente est né avant l’entrée en vigueur de ladite modification et qui n’avaient pas encore 55 ans à cette date,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5 points de pourcentage (FF 2017 2504). On rappellera ici que l’art. 17 LPGA régissant la révision du droit à la rente en cas de modification du taux d’invalidité s’applique également à la décision par laquelle une rente échelonnée dans le temps est accordée avec effet rétroactif (arrêt du Tribunal fédéral 9C_244/2020 du 5 janvier 2021 consid. 4.3.1).</w:t>
      </w:r>
    </w:p>
    <w:p>
      <w:r>
        <w:rPr>
          <w:b/>
        </w:rPr>
        <w:t>E. 5.3</w:t>
      </w:r>
    </w:p>
    <w:p>
      <w:r>
        <w:t>Selon la jurisprudence, lorsque la décision dont est recours a été rendue après le 1er janvier 2022, il y a lieu conformément aux principes de droit intertemporel généralement applicables (cf.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w:t>
      </w:r>
    </w:p>
    <w:p>
      <w:r>
        <w:rPr>
          <w:b/>
        </w:rPr>
        <w:t>E. 5.4</w:t>
      </w:r>
    </w:p>
    <w:p>
      <w:r>
        <w:t>En l’espèce, le droit à la rente est né une année après le début de l’incapacité de travail totale que l’accident a entraînée, soit en octobre 2019, le recourant n’étant à l’expiration de ce délai de carence pas encore apte à la réadaptation. Partant, l’ancien droit reste applicable, sous réserve d’une modification du degré d’invalidité de cinq points de pourcentage au moins après le 1er janvier 2022 (cf. arrêt du Tribunal fédéral 8C_55/2023 du 11 juillet 2023 consid. 2.2), dont la chambre de céans examinera ci-après si elle est survenue.</w:t>
      </w:r>
    </w:p>
    <w:p>
      <w:r>
        <w:rPr>
          <w:b/>
        </w:rPr>
        <w:t>E. 6</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w:t>
      </w:r>
    </w:p>
    <w:p>
      <w:r>
        <w:rPr>
          <w:b/>
        </w:rPr>
        <w:t>E. 6.1</w:t>
      </w:r>
    </w:p>
    <w:p>
      <w:r>
        <w:t>Le revenu sans invalidité se détermine en établissant au degré de la vraisemblance prépondérante ce que l’intéressé aurait effectivement pu réaliser au moment déterminant s’il était en bonne santé (ATF 129 V 222 consid. 4.3.1). Ce</w:t>
      </w:r>
    </w:p>
    <w:p>
      <w:r>
        <w:t>A/1035/2023 - 11/17 -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w:t>
      </w:r>
    </w:p>
    <w:p>
      <w:r>
        <w:rPr>
          <w:b/>
        </w:rPr>
        <w:t>E. 6.2</w:t>
      </w:r>
    </w:p>
    <w:p>
      <w:r>
        <w:t>Pour déterminer le revenu d'invalide de l'assuré, il faut en l'absence d'un revenu effectivement réalisé se référer aux données salariales, telles qu'elles résultent des ESS (ATF 126 V 75 consid. 3b). Le revenu d’invalide doit être évalué avant tout en fonction de la situation professionnelle concrète de l’intéressé. Ainsi, lorsque la personne assurée a suivi avec succès des mesures de réadaptation dans une nouvelle profession, le revenu d’invalide doit en principe être déterminé selon le salaire conforme aux usages professionnels dans ce métier (Margit MOSER-SZELESS in Commentaire romand LPGA, n. 30 ad art. 16 LPGA). Lorsque le salaire d’invalide est fondé sur les statistiques, il convient généralement d’appliquer les données les plus récentes disponibles (ATF 143 V 295 consid. 2.3 et 4.1.3). Depuis la 10ème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Le niveau 1 est le plus bas et correspond aux tâches physiques ou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 les cadres de direction et les gérants,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et les tâches administratives, l'utilisation de machines et d'appareils électroniques, les services de sécurité et la conduite de véhicules (arrêt du Tribunal fédéral 8C_801/2021 du 28 juin 2022 consid. 2.3 et les références).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 santé, mais qui conservent</w:t>
      </w:r>
    </w:p>
    <w:p>
      <w:r>
        <w:t>A/1035/2023 - 12/17 - néanmoins une capacité de travail importante dans des travaux légers (arrêt du Tribunal fédéral 9C_692/2015 du 23 février 2016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w:t>
      </w:r>
    </w:p>
    <w:p>
      <w:r>
        <w:rPr>
          <w:b/>
        </w:rPr>
        <w:t>E. 6.3</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 permet de tenir compte des différents éléments qui peuvent influencer le revenu d'une activité lucrative (ATF 126 V 75 consid. 5b). L'abattement ne peut résulter de déductions distinctes pour des facteurs séparés à prendre en considération. Une telle fragmentation n'est pas compatible avec une évaluation globale des effets des empêchements sur le revenu d'invalide qui suppose un examen des facteurs considérés dans leur ensemble et non pas une addition schématique de pourcentages (arrêt du Tribunal fédéral 9C_751/2011 du 30 avril 2012 consid. 4.2.2). Il n'est pas justifié de quantifier séparément chacun des facteurs de réduction entrant en ligne de compte et de les additionner, car on perdrait ainsi de vue les effets réciproques (ATF 126 V 75 consid. 5b/bb).</w:t>
      </w:r>
    </w:p>
    <w:p>
      <w:r>
        <w:rPr>
          <w:b/>
        </w:rPr>
        <w:t>E. 6.3.1</w:t>
      </w:r>
    </w:p>
    <w:p>
      <w:r>
        <w:t>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rPr>
          <w:b/>
        </w:rPr>
        <w:t>E. 6.3.2</w:t>
      </w:r>
    </w:p>
    <w:p>
      <w:r>
        <w:t>Les tribunaux cantonaux des assurances au sens de l'art. 57 LPGA, qui constituent l'autorité de recours ordinaire dans la très grande majorité des cas</w:t>
      </w:r>
    </w:p>
    <w:p>
      <w:r>
        <w:t>A/1035/2023 - 13/17 -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en matière d'assurance-invalidité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w:t>
      </w:r>
    </w:p>
    <w:p>
      <w:r>
        <w:rPr>
          <w:b/>
        </w:rPr>
        <w:t>E. 7</w:t>
      </w:r>
    </w:p>
    <w:p>
      <w:r>
        <w:t>En l’espèce, la chambre de céans retient ce qui suit.</w:t>
      </w:r>
    </w:p>
    <w:p>
      <w:r>
        <w:rPr>
          <w:b/>
        </w:rPr>
        <w:t>E. 7.1</w:t>
      </w:r>
    </w:p>
    <w:p>
      <w:r>
        <w:t>Il n’y a pas lieu de revenir sur l’octroi d’une rente entière d’invalidité dès octobre 2019, comme on l’a vu. En ce qui concerne la période courant dès juin 2022, les médecins de la CRR ont admis une capacité de travail à 50 % dès mars 2022, ce que les parties ne contestent pas. C’est à juste titre que l’intimé a tenu compte de cette amélioration dès juin 2020, soit trois mois plus tard. En effet, aux termes de l’art. 88a al. 1 du règlement sur l’assurance-invalidité du 17 janvier 1961 (RAI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On ne saurait toutefois se rallier au degré d’invalidité retenu dès cette date par l’intimé.</w:t>
      </w:r>
    </w:p>
    <w:p>
      <w:r>
        <w:rPr>
          <w:b/>
        </w:rPr>
        <w:t>E. 7.1.1</w:t>
      </w:r>
    </w:p>
    <w:p>
      <w:r>
        <w:t>Au sujet du revenu sans invalidité, même si le recourant ne le conteste pas, on note que l’intimé s’est fondé sur un salaire de CHF 70'720.- en 2018, ce qui</w:t>
      </w:r>
    </w:p>
    <w:p>
      <w:r>
        <w:t>A/1035/2023 - 14/17 - actualisé à 2021 représente CHF 71'909.-. En premier lieu, on comprend difficilement pourquoi l’intimé se réfère à un revenu indexé à 2021 pour le droit à la rente dès juin 2020. De plus, selon les informations communiquées par l’employeur à l’assureur-accidents le 12 février 2020, le salaire sans invalidité en 2020 se serait élevé à CHF 5'600.- par mois, plus CHF 466.65 correspondant à la part du 13ème salaire, ce qui représente au total CHF 72'799.80. Il convient de retenir ces chiffres, plus récents, plutôt que ceux indiqués dans le rapport de l’employeur adressé à l’OAI le 26 mars 2019.</w:t>
      </w:r>
    </w:p>
    <w:p>
      <w:r>
        <w:rPr>
          <w:b/>
        </w:rPr>
        <w:t>E. 7.1.2</w:t>
      </w:r>
    </w:p>
    <w:p>
      <w:r>
        <w:t>Quant au revenu d’invalide, l’intimé l’a fixé en référence au revenu statistique tiré d’une activité de niveau 2 exercée dans le dessin technique correspondant aux lignes 69-75 de l’ESS 2018. Or, en juin 2020, les mesures de reclassement n’avaient pas encore eu lieu, de sorte qu’il est indubitablement erroné de tenir compte d’aptitudes professionnelles que le recourant n’avait pas acquises. Celui-ci n’ayant eu aucune formation professionnelle certifiée avant son accident, il convient d’appliquer la valeur statistique correspondant à des activités simples et répétitives, qui selon la jurisprudence recouvre des postes adaptés aux limitations fonctionnelles. L’ESS 2020 ayant été publiée en 2022, soit avant que l’intimé ne statue, c’est à cette version qu’il faut se référer. Elle révèle un revenu mensuel de CHF 5'261.- par mois pour un homme (TA1_skill_level, Ligne Total, niveau 1), soit CHF 63'132.- par an, et CHF 65'815.11 une fois adapté à la durée normale de travail de 41.7 heures. Compte tenu d’une capacité de travail de 50 %, le revenu d’invalide est de CHF 32'907.50. S’agissant de l’abattement, la position de l’intimé est insoutenable en tant qu’il affirme que les limitations fonctionnelles ont été prises en compte dans la capacité de travail. En effet, les limitations fonctionnelles décrites par les médecins de la CRR, dont la pertinence n’est pas contestée, ne se limitent pas à la réduction de la capacité de travail mais ont des répercussions dans la mise en valeur de la capacité résiduelle de travail. Or, selon la jurisprudence,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 En outre, le travail à temps partiel peut, selon les statistiques, être synonyme d'une perte de salaire pour les travailleurs de sexe masculin (arrêt du Tribunal fédéral 9C_18/2022 du</w:t>
      </w:r>
    </w:p>
    <w:p>
      <w:r>
        <w:rPr>
          <w:b/>
        </w:rPr>
        <w:t>E. 7.1.3</w:t>
      </w:r>
    </w:p>
    <w:p>
      <w:r>
        <w:t>La comparaison des revenus avant et après invalidité aboutit à un degré d’invalidité de 61.58 %, ce qui ouvre le droit à trois quarts de rente dès le 1er juin 2020.</w:t>
      </w:r>
    </w:p>
    <w:p>
      <w:r>
        <w:rPr>
          <w:b/>
        </w:rPr>
        <w:t>E. 7.2</w:t>
      </w:r>
    </w:p>
    <w:p>
      <w:r>
        <w:t>L’intimé ayant mis un terme aux mesures d’ordre professionnel au 30 novembre 2022, il y a lieu de vérifier le degré d’invalidité dès le 1er décembre 2022. En préambule, il faut souligner que le droit aux mesures de réadaptation – dont fait partie le reclassement octroyé par l’intimé – est subordonné notamment au caractère approprié de ces mesures pour atteindre le but de la réadaptation visé (ATF 139 V 399 consid. 5.4). En l’espèce, l’intimé ne s’est guère prononcé sur ce point. En effet, on trouve uniquement au dossier deux notes d’entretiens téléphoniques de la SUVA avec l’intimé des 29 août et 28 octobre 2019, selon lesquelles celui-ci avait rencontré le recourant et lui avait proposé de voir un institut en vue d’une orientation technique comme le dessin industriel, au vu de ses limitations dans les déplacements, et relatant que le recourant avait rencontré le responsable de l’école et était motivé par la formation. L’intimé ne semble pas avoir procédé à une analyse, même succincte, du point de savoir si une formation technique de cet ordre était adaptée aux compétences, aux capacités et aux acquis du recourant, dont l’anamnèse professionnelle ne laisse pourtant pas supposer de connaissances informatiques notamment. De plus, l’évaluation approfondie des capacités du recourant par la CRR a écarté la piste de la réinsertion dans le domaine du dessin technique, notamment au vu de ses très faibles notions en informatique, pour proposer d’autres orientations mieux adaptées à ses aptitudes. Nonobstant cette évaluation détaillée et convaincante, l’intimé a mis en œuvre le reclassement, et il appert que le recourant a rencontré des difficultés dans cette formation. On note d’une part que les attestations de suivi de formation figurant</w:t>
      </w:r>
    </w:p>
    <w:p>
      <w:r>
        <w:t>A/1035/2023 - 16/17 - au dossier ne correspondent pas à celles énumérées dans le projet de reclassement établi par l’ASIMCO le 8 juillet 2020. Au vu des pièces, il semble en particulier que le recourant ne dispose pas des certificats des modules « REVIT BIM &amp; MEP » et « Planification – Gestion – Projets – Soumissions » faisant pourtant partie du plan de formation. De plus, cette formation devait selon la proposition de l’ASIMCO inclure un stage. Or, le recourant n’est pas parvenu à décrocher un tel stage, malgré l’appui d’un coach puis des ÉPI, et les entreprises démarchées dans ce cadre ont souligné l’insuffisance de ses aptitudes techniques. Au vu de ces éléments, on ne peut que constater l’échec des mesures de réadaptation. En effet, même sur un marché du travail équilibré, on ne peut raisonnablement envisager qu’un employeur engage une personne dont les compétences techniques n’atteignent pas celles qui sont attendues d’un stagiaire et qui ne dispose pas des prérequis pour cette profession tels que décrits par l’ASIMCO dans sa proposition. Partant, on ne saurait retenir un revenu d’invalide fondé sur un salaire correspondant à un niveau 2 dans une activité de dessin technique puisque le recourant ne dispose pas des compétences et qualifications nécessaires pour exercer une telle profession. Le revenu après invalidité dès décembre 2022 doit dès lors continuer à être fixé en référence à celui réalisable dans des activités simples et répétitives (Ligne Total, niveau 1 de l’ESS). Le degré d’invalidité du recourant ne subit ainsi pas de changement après le 30 novembre 2022, mais reste de 61.58 %, de sorte que celui-ci conserve un droit à trois quarts de rente après cette date. 8. Le recours est admis. Le recourant a droit à des dépens, qui seront fixés à CHF 2'000.- (art. 61 let. g LPGA). La procédure en matière d’octroi de prestations de l’assurance-invalidité n’étant pas gratuite (art. 69 al. 1bis LAI), l’intimé supporte l’émolument de CHF 200.-.</w:t>
      </w:r>
    </w:p>
    <w:p>
      <w:r>
        <w:t>A/1035/2023 - 17/17 - PAR CES MOTIFS, LA CHAMBRE DES ASSURANCES SOCIALES : Statuant À la forme :</w:t>
      </w:r>
    </w:p>
    <w:p>
      <w:r>
        <w:rPr>
          <w:b/>
        </w:rPr>
        <w:t>E. 9</w:t>
      </w:r>
    </w:p>
    <w:p>
      <w:r>
        <w:t>novembre 2022 consid. 3.2 et les références). Par ailleurs, l’intimé ne s’est absolument pas prononcé sur les autres critères, fût-ce pour les écarter. On relèvera cependant à ce sujet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w:t>
      </w:r>
    </w:p>
    <w:p>
      <w:r>
        <w:t>A/1035/2023 - 15/17 - formation, ni expérience professionnelle spécifique (arrêt du Tribunal fédéral 8C_131/2018 du 25 juillet 2018 consid. 5.2). S'agissant du critère des années de service, son incidence est moins élevée lorsque le profil d'exigences est bas. Ce paramètre n'est pas pertinent s'agissant des activités de niveau 1 de l'ESS (arrêt du Tribunal fédéral 9C_874/2014 du 2 septembre 2015 consid. 3.3.2 et les références). Quant à l’âge, la jurisprudence retient que les emplois non qualifiés (qui correspondent à ceux du niveau de compétence 1) sont, en règle générale, disponibles indépendamment de l'âge d’un assuré sur un marché du travail équilibré (arrêt du Tribunal fédéral 8C_559/2022 du 21 mars 2023 consid. 4.2.3). En ne procédant pas à un examen complet des circonstances et en ne tenant pas compte des critères pertinents, l’intimé a commis un abus de son pouvoir d’appréciation (cf. arrêt du Tribunal fédéral 8C_883/2015 du 21 octobre 2016 consid. 6.2.2), si bien que la chambre de céans est fondée à apprécier l’abattement elle-même. Au vu des limitations fonctionnelles importantes et du travail à temps partiel, il se justifie d’appliquer une réduction de 15 % au revenu d’invalide, ce qui le réduit à CHF 27'971.40.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