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ATAS/1019/2017 vom 2. November 2017</w:t>
      </w:r>
    </w:p>
    <w:p>
      <w:r>
        <w:t>GE Cour de justice, 2017-11-02, FR</w:t>
      </w:r>
    </w:p>
    <w:p>
      <w:r>
        <w:rPr>
          <w:b/>
        </w:rPr>
        <w:t xml:space="preserve">Quelle: </w:t>
      </w:r>
      <w:r>
        <w:t>https://mcp.opencaselaw.ch/entscheid/ge_gerichte_ATAS_1019_2017</w:t>
      </w:r>
    </w:p>
    <w:p>
      <w:r>
        <w:t>FR: GE_GERICHTE ATAS/1019/2017 du 2 novembre 2017</w:t>
      </w:r>
    </w:p>
    <w:p>
      <w:r>
        <w:t>IT: GE_GERICHTE ATAS/1019/2017 del 2 novembre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70 al. 1 et 2 de loi sur la procédure administrative du 12 septembre 1985 (LPA-GE - E 5 10),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En l’espèce, les deux causes se rapportent à une même situation et opposent les mêmes parties, raison pour laquelle il se justifie de les joindre, même si, formellement, l’intimé a rendu deux décisions distinctes.</w:t>
      </w:r>
    </w:p>
    <w:p>
      <w:r>
        <w:rPr>
          <w:b/>
        </w:rPr>
        <w:t>E. 3</w:t>
      </w:r>
    </w:p>
    <w:p>
      <w:r>
        <w:t>Selon l'art. 61 let. b LPGA, l'acte de recours doit contenir un exposé succinct des faits et des motifs invoqués ainsi que des conclusions. L'art. 89B LPA pose les mêmes exigences. La jurisprudence précise qu’un recours ne comportant que des arguments sur le fond interjeté contre un jugement d'irrecevabilité, par exemple, est considéré</w:t>
      </w:r>
    </w:p>
    <w:p>
      <w:r>
        <w:t>A/3493/2017 - 6/8 - comme dépourvu de motivation topique et non valable (cf. ATF 123 V 335 ; ATF 9C_632/2008). Il en va de même d’un recours ne comportant que des arguments visant à la remise de l'obligation de restituer et ne contestant aucunement le caractère indu des prestations dont le remboursement est réclamé. La situation présente est similaire dans la mesure où l’assuré ne fait valoir que des arguments relatifs à son droit à des prestations de la part de l’intimé - question réglée par l’arrêt désormais entré en force du 22 décembre 2016 - alors que les décisions litigieuses ne concernent que le calcul de la rente telle que définie par la Chambre de céans. Le recours doit donc être déclaré irrecevable, à moins qu’il ne remplisse les conditions d’une demande en révision. En effet, l’assuré produit à l’appui de son recours des pièces et propose l’audition de son médecin. Selon l'art. 53 al. 1 LPGA, les décisions formellement passées en force sont soumises à révision si l'assuré ou l'assureur découvre subséquemment des faits nouveaux importants ou trouve des nouveaux moyens de preuve qui ne pouvaient être produits auparavant. La révision de la décision d'un tribunal cantonal des assurances est réglée quant à elle par le droit fédéral à l'art. 61 let. i LPGA, en vertu duquel les jugements sont soumis à révision si des faits ou des moyens de preuve nouveaux sont découverts ou si un crime ou un délit a influencé le jugement.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(ATF 134 III 669 consid. 2.2 p. 671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En l’occurrence, force est de constater que tant l’intimé que la Cour de céans avaient connaissance de toutes les pièces que l’assuré a produit à l’appui de son</w:t>
      </w:r>
    </w:p>
    <w:p>
      <w:r>
        <w:t>A/3493/2017 - 7/8 - écriture lorsqu’ils se sont prononcés. Il n’y a dès lors ni faits nouveaux, ni moyens de preuve nouveaux à l’appui de la demande éventuelle de l’intéressé. En conséquence, le recours doit être déclaré irrecevable.</w:t>
      </w:r>
    </w:p>
    <w:p>
      <w:r>
        <w:t>A/3493/2017 - 8/8 -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