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ATAS/1019/2013 vom 18. Oktober 2013</w:t>
      </w:r>
    </w:p>
    <w:p>
      <w:r>
        <w:t>GE Cour de justice, 2013-10-18, FR</w:t>
      </w:r>
    </w:p>
    <w:p>
      <w:r>
        <w:rPr>
          <w:b/>
        </w:rPr>
        <w:t xml:space="preserve">Quelle: </w:t>
      </w:r>
      <w:r>
        <w:t>https://mcp.opencaselaw.ch/entscheid/ge_gerichte_ATAS_1019_2013</w:t>
      </w:r>
    </w:p>
    <w:p>
      <w:r>
        <w:t>FR: GE_GERICHTE ATAS/1019/2013 du 18 octobre 2013</w:t>
      </w:r>
    </w:p>
    <w:p>
      <w:r>
        <w:t>IT: GE_GERICHTE ATAS/1019/2013 del 18 ottobre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w:t>
      </w:r>
    </w:p>
    <w:p>
      <w:r>
        <w:rPr>
          <w:b/>
        </w:rPr>
        <w:t>E. 3</w:t>
      </w:r>
    </w:p>
    <w:p>
      <w:r>
        <w:t>Interjeté dans les formes et délai prévus par la loi, le présent recours est recevable (art. 56 à 61 LPGA).</w:t>
      </w:r>
    </w:p>
    <w:p>
      <w:r>
        <w:rPr>
          <w:b/>
        </w:rPr>
        <w:t>E. 4</w:t>
      </w:r>
    </w:p>
    <w:p>
      <w:r>
        <w:t>Le litige porte sur le droit de la recourante à une allocation pour impotent.</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w:t>
      </w:r>
    </w:p>
    <w:p>
      <w:r>
        <w:t>A/2332/2013 - 7/15 -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 de façon régulière et importante, de l'aide d'autrui pour accomplir au moins deux actes ordinaires de la vie; e) d'une surveillance personnelle permanente; f) de façon permanente, de soins particulièrement astreignants, exigés par l'infirmité de l'assuré; g) de services considérables et réguliers de tiers lorsqu'en raison d'une grave atteinte des organes sensoriels ou d'une infirmité corporelle, il ne peut entretenir des contacts sociaux avec son entourage que grâce à eux; ou h)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w:t>
      </w:r>
    </w:p>
    <w:p>
      <w:r>
        <w:t>A/2332/2013 - 8/15 - i)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j)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k)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w:t>
      </w:r>
    </w:p>
    <w:p>
      <w:r>
        <w:t>A/2332/2013 - 9/15 -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 m)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w:t>
      </w:r>
    </w:p>
    <w:p>
      <w:r>
        <w:t>A/2332/2013 - 10/15 -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Pour pouvoir calculer le degré d’invalidité, l’administration (ou le juge, s’il y a eu un recours) a besoin de documents qu’un médecin, éventuellement d’autres spécialistes, doivent lui fournir. La tâche du médecin consiste à porter un jugement</w:t>
      </w:r>
    </w:p>
    <w:p>
      <w:r>
        <w:t>A/2332/2013 - 11/15 -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p. 28 consid. 4b), la jurisprudence rendue sous l’empire de l’art. 4 aCst. étant toujours valable (ATF 124 V 90 consid. 4b, ATF 122 V 157 consid. 1d).</w:t>
      </w:r>
    </w:p>
    <w:p>
      <w:r>
        <w:t>A/2332/2013 - 12/15 - 7. En l’espèce, la Cour de céans a déjà retenu dans l'arrêt du 2 juillet 2013 que le rapport d’expertise pluridisciplinaire du 13 décembre 2011 pouvait se voir reconnaître pleine valeur probante, s’agissant de l’appréciation du caractère invalidant des lésions au genou, du trouble somatoforme douloureux et de l’état psychiatrique alors constaté. Sur cette base-là, il a alors été déterminé que l’assurée présentait une pleine capacité de travail dans une activité adaptée aux seules limitations fonctionnelles retenues (position assise principalement avec possibilité d’en changer, limitations du port de charges, pas de longs déplacements à pied, ni d'escaliers). Si la Cour a renvoyé la cause à l’OAI pour instruction complémentaire, c’est exclusivement pour examiner les conséquences sur la capacité de travail et ménagère de la tendinopathie de la coiffe des rotateurs et de l’éventuelle aggravation durable de l’état psychique, diagnostiquée par les HUG en octobre 2012. Ensuite, il sied de relever qu'un assuré peut avoir droit à une allocation pour impotent de degré léger, en raison d'un grave handicap physique (besoin d'aide pour sortir de son lit, entrer dans la baignoire, se laver et se mettre dans sa chaise roulante), sans avoir droit à une rente d'invalidité en l'absence de perte de gain. Il sied donc d'examiner si les atteintes à la santé retenues impliquent objectivement une incapacité à faire sans aide les actes ordinaires de la vie. Si le trouble somatoforme douloureux explique vraisemblablement les importants empêchements dans le ménage retenus par l'enquêtrice, force est de constater qu'une atteinte à la santé qui n'est pas considérée comme incapacitante par la jurisprudence, puisqu'elle est censée pouvoir être surmontée par un effort de volonté, n'objective ni les empêchements retenus, ni le besoin d'aide pour les actes ordinaires de la vie et, en conséquence, ne peut pas donner droit à une allocation d'impotent. Au surplus, l'atteinte au genou n'implique que de légères limitations. S'il s'avérait après instruction complémentaire que la tendinopathie a des répercussions sur la capacité de travail et/ou ménagère de l'assurée, en raison de limitations du membre supérieur supplémentaires à celles concernant le genou, cela n'empêche manifestement pas l'assurée de se laver ou de se coiffer avec l'autre main. Ainsi, il va de soi qu'une assurée qui est pleinement apte à travailler dans une activité adaptée à ces quelques limitations, est aussi capable de s'habiller seule, de manger sans aide, de se lever, s'asseoir et se coucher, de même que d'aller aux toilettes, se laver et se déplacer. S'agissant de l'état psychique de l'assurée, la CRR relève en juillet 2010 que l'assurée n'a jamais trouvé les ressources pour s'adapter en Suisse, ne parlant pas la langue et n'ayant jamais été capable de travailler plus de 2 heures par jour, tout en ne retenant aucun diagnostic psychiatrique. L'expertise du 13 décembre 2011 met en évidence l'absence de médication et de suivi régulier sur le plan psychiatrique ainsi que l'exagération des plaintes de la patiente. Les vertiges et autres malaises de l'assurée participent au tableau clinique du trouble somatoforme, étant toutefois</w:t>
      </w:r>
    </w:p>
    <w:p>
      <w:r>
        <w:t>A/2332/2013 - 13/15 - relevé qu'ils n'ont pas empêché l'assurée de venir seule au rendez-vous fixé pour cette expertise. Il est vrai que l’assurée présente un parcours de vie difficile ; son époux a été assassiné et elle n’est pas parvenue à s’adapter à sa vie en Suisse ; cela notamment explique vraisemblablement l’émergence d’un trouble somatoforme. Cependant, cette atteinte ne peut être considérée comme invalidante en l’absence d’un trouble psychiatrique grave et/ou des autres critères retenus par la jurisprudence. Ainsi, l'ensemble des médecins consultés ont retenu que l'état dépressif était jusqu'en octobre 2012 - tout au plus - de degré moyen, sans être correctement traité. Ainsi, si les constatations de l'enquêtrice ne sont pas remises en cause, elles ne sont pas dues à un état dépressif de gravité moyenne. Elles sont donc soit les conséquences des symptômes du trouble somatoforme, soit la démonstration de l'exagération des plaintes de l'assurée, relevée par l'expertise, dont l'anamnèse contredit clairement l'état de totale dépendance décrit par l'enquêtrice. Au surplus, si l'assurée souffre uniquement d’une atteinte à sa santé psychique, elle doit, pour être considérée comme impotente, avoir droit au moins à un quart de rente, ce qui n’est pas le cas, l’aggravation qui a entraîné le renvoi de la demande de rente à l’OAI ne pouvant sur ce point déployer, le cas échéant, d’effet avant un délai d’attente d’une année, soit avant octobre 2013. En conclusion, c'est à juste titre que l'OAI a refusé toute allocation d'impotence à l'assurée par décision du 7 juin 2013. Finalement, à la différence de la procédure concernant l'évaluation de la capacité de travail et du droit à une rente, il ne se justifie pas de renvoyer la cause à l'OAI pour examen des conséquences d'une éventuelle aggravation durable de l'état de santé psychique sur le droit à une allocation d'impotence. En effet, si un trouble dépressif grave, malgré un traitement adéquat, permet de retenir que le trouble somatoforme est invalidant et empêche l'assurée de travailler et de tenir son ménage, cela n'implique pas pour autant que cette dépression soit grave au point que l'assurée ne soit plus en mesure de s'alimenter, de s'habiller et/ou de sortir sans y être incitée. Or, les rapports des HUG des 31 octobre 2012, 29 novembre 2012 et 27 mars 2013 mentionnent certes une aggravation de l'état dépressif, mais soulignent une légère amélioration lors de l'instauration d'un traitement en décembre 2012. Ils ne décrivent pas un état dépressif grave au point d'avoir des conséquences sur la capacité de l'assurée de faire seule les actes ordinaires de la vie. Comme déjà indiqué, si à l'issue du délai de carence d'un an à la fin du mois d'octobre 2013, les médecins traitants confirment la persistance d'un état dépressif grave, malgré un traitement adéquat, qui implique que l'assurée a objectivement besoin d'une aide importante pour au moins deux actes ordinaires de la vie ou d'un accompagnement de façon régulière depuis octobre 2012, il sera loisible à l'assurée de déposer une nouvelle demande d'allocation d'impotence, à charge pour l'OAI de</w:t>
      </w:r>
    </w:p>
    <w:p>
      <w:r>
        <w:t>A/2332/2013 - 14/15 - traiter les deux procédures conjointement. En effet, si ce besoin d'aide était avéré, l'assurée aurait alors aussi droit à un quart de rente, en tout cas. 8. Mal fondé, le recours est rejeté. L'assurée plaidant au bénéfice de l'assistance juridique, la Cour renonce à mettre un émolument à sa charge.</w:t>
      </w:r>
    </w:p>
    <w:p>
      <w:r>
        <w:t>A/2332/2013 - 15/15 -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