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ATAS/1018/2018 vom 1. November 2018</w:t>
      </w:r>
    </w:p>
    <w:p>
      <w:r>
        <w:t>GE Cour de justice, 2018-11-01, FR</w:t>
      </w:r>
    </w:p>
    <w:p>
      <w:r>
        <w:rPr>
          <w:b/>
        </w:rPr>
        <w:t xml:space="preserve">Quelle: </w:t>
      </w:r>
      <w:r>
        <w:t>https://mcp.opencaselaw.ch/entscheid/ge_gerichte_ATAS_1018_2018</w:t>
      </w:r>
    </w:p>
    <w:p>
      <w:r>
        <w:t>FR: GE_GERICHTE ATAS/1018/2018 du 1 novembre 2018</w:t>
      </w:r>
    </w:p>
    <w:p>
      <w:r>
        <w:t>IT: GE_GERICHTE ATAS/1018/2018 del 1 novembre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la recourante présente une invalidité ouvrant le droit à une rente.</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rPr>
          <w:b/>
        </w:rPr>
        <w:t>E. 5</w:t>
      </w:r>
    </w:p>
    <w:p>
      <w:r>
        <w:t>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w:t>
      </w:r>
    </w:p>
    <w:p>
      <w:r>
        <w:t>A/1868/2018 - 12/16 - cadre d'une procédure structurée d'administration des preuves à l'aide d'indicateurs (ATF 141 V 281), s'applique dorénavant à toutes les maladies psychiques, en particulier aux dépressions légères à moyennes. En effet, les maladies psychiques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Selon la jurisprudence rendue jusque-là à propos des dépressions légères à moyennes, les maladies en question n'étaient considérées comme invalidantes que lorsqu'on pouvait apporter la preuve qu'elles étaient «résistantes à la thérapie » (ATF 140 V 193 E. 3.3 p. 197; arrêts du Tribunal fédéral 9C_841/2016 du 8 février 2017 consid. 3.1;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w:t>
      </w:r>
    </w:p>
    <w:p>
      <w:r>
        <w:rPr>
          <w:b/>
        </w:rPr>
        <w:t>E. 6</w:t>
      </w:r>
    </w:p>
    <w:p>
      <w:r>
        <w:t>L'obésité en soi ni le diabète ne sont pas constitutifs d'invalidité, à moins que l'excédent de poids ait provoqué une atteinte à la santé ou s'il est lui-même la conséquence d'un trouble de la santé et qu'ainsi, la capacité de gain est sensiblement réduite et ne peut être augmentée de façon importante par des mesures raisonnablement exigibles. L'obésité a uniquement un caractère invalidant, lorsqu'elle ne peut être réduite ni par un traitement adéquat ni par une perte de poids exigible ou si celle-ci, compte tenu d'autres éventuelles atteintes liées l'obésité, n'aurait vraisemblablement pas d'effet sur la capacité de travail (SVR 2010 IV Nr. 8 S. 25; RCC 1984 p. 359 consid. 3; arrêt du Tribunal fédéral 8C_74/2008 du 22 août 2008 consid. 2.2).</w:t>
      </w:r>
    </w:p>
    <w:p>
      <w:r>
        <w:rPr>
          <w:b/>
        </w:rPr>
        <w:t>E. 7</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(art. 28 al. 2 LAI).</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A/1868/2018 - 13/16 -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soient bien motivées (ATF 134 V 231 consid. 5.1; ATF 133 V 450 consid. 11.1.3; ATF 125 V 351 consid. 3).</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l’occurrence, l’intimé s’est fondé sur le rapport du Dr H______ du 13 octobre 2017. Ce rapport a été établi sur le formulaire de l’intimé et ne contient aucune anamnèse, la recourante ne l’ayant consulté qu’à une seule reprise. Selon ce médecin, la recourante souffre d’un asthme allergique perannuel sévère et cortico- dépendant depuis 2003. Parmi les diagnostics sans effet sur la capacité de travail, ce médecin mentionne une malformation artério-veineuse (MAV) pulmonaire traitée en 2015 par radiologie, une obésité sévère et un trouble ventilatoire obstructif léger. Depuis la mise en route du médicament Xolair, l’asthme sévère est mieux contrôlé. Concernant la question au sujet d'une incapacité de travail médicalement attestée de 20 % au moins dans la dernière activité exercée, le médecin a indiqué qu’il ne connaissait pas la profession antérieure ou actuelle de la recourante. Elle devait éviter la poussière et les efforts lui étaient impossibles. Les limitations fonctionnelles se manifestaient par une dyspnée et une aggravation de l’asthme. Le rendement était réduit par l’asthme sévère et l’obésité. Une activité professionnelle était possible en position assise et sans exposition à la fumée ou aux poussières.</w:t>
      </w:r>
    </w:p>
    <w:p>
      <w:r>
        <w:t>A/1868/2018 - 14/16 - Par ailleurs, dans un rapport du 19 février 2018 adressé au mandataire de la recourante, le Dr H______ indique notamment que celle-ci souffre de la forme la plus sévère dans l’échelle de graduation de sévérité d’un asthme bronchique, ce qui signifiait une dépendance à un traitement de cortisone à haute dose et de Xolair en injection. La dyspnée de la recourante était probablement multifactorielle, liée à son asthme, son obésité et à un déconditionnement. Le traitement de Xolair et la cortico-thérapie avaient permis la diminution de la fréquence des exacerbations de l’asthme. Les mesures de fonction pulmonaire pouvaient par ailleurs varier d’un jour à l’autre en fonction du degré d’exposition à des poussières ou à des substances irritantes, la prise ou non d’un traitement broncho-dilatateur et de la posologie de la cortisone. Concernant la capacité de travail, ce médecin considère qu’il est possible de reprendre une activité professionnelle adaptée. La surcharge pondérale est un frein à une activité lucrative, mais ne limite pas l’exercice d’une activité adaptée en position assise et sans effort physique. Sur la base du premier rapport du Dr H______, le SMR constate que les fonctions pulmonaires à la date du 26 mai 2015 sont tout à fait normales et montrent une amélioration par rapport à mars 2015. Le Dr H______ rapporte en outre un très bon contrôle de l'asthme et une perte pondérale significative depuis 2015. Par ailleurs, les fonctions pulmonaires montrent un syndrome restrictif léger lié à l’obésité. Selon le SMR, la capacité de travail est nulle dans l’activité habituelle d’employée de maison depuis juin 2015. Toutefois, dès fin septembre 2015, à savoir dès l’introduction du traitement Xolair, la capacité de travail est entière dans une activité adaptée assise, sans effort physique important et sans exposition à la fumée et aux poussières.</w:t>
      </w:r>
    </w:p>
    <w:p>
      <w:r>
        <w:rPr>
          <w:b/>
        </w:rPr>
        <w:t>E. 11</w:t>
      </w:r>
    </w:p>
    <w:p>
      <w:r>
        <w:t>En premier lieu, comme le relève la recourante, il sied de constater que ni le rapport du Dr H______ ni les avis médicaux du SMR ne peuvent se faire reconnaître une valeur probante suffisante. En effet, ces documents médicaux ne contiennent aucune anamnèse. Quant au rapport du Dr H______, il n’a probablement pas été établi en pleine connaissance du dossier médical, notamment des rapports des Drs E______ et G______. Du moins, il ne s'est pas déterminé sur les avis divergents de ceux-ci quant à la capacité de travail. S'agissant du médecin du SMR, il n’a pas procédé à un examen clinique et n'est pas spécialiste en pneumologie, allergologie et immunologie. A cela s’ajoute que le Dr H______ ne chiffre pas le taux de capacité de travail. Or, il considère, dans son rapport du 13 octobre 2017, que le rendement est réduit en raison de l’asthme sévère et de l’obésité. Partant, les conclusions du Dr H______ et du SMR ne peuvent être suivies sans autre, dès lors qu’elles sont contestées par les Drs E______ et G______. En effet, selon le premier médecin, la recourante ne pourrait reprendre une activité adaptée qu’à temps partiel et, selon la Dresse G______, sa capacité de travail est nulle. Il y a lieu par ailleurs de prendre en considération l’obésité morbide dans les limitations fonctionnelles, celle-ci étant induite par le traitement de cortisone. Il est à relever à</w:t>
      </w:r>
    </w:p>
    <w:p>
      <w:r>
        <w:t>A/1868/2018 - 15/16 - cet égard que la recourante a fait un effort pour perdre du poids mais que cette perte de poids reste insuffisante. Tant qu’elle est tributaire d’un traitement à la cortisone, il paraît illusoire qu’elle puisse diminuer son poids dans une mesure importante. Quant au déconditionnement, il ne peut a priori être reproché à la recourante, dans la mesure où elle doit éviter tous les efforts à cause de l’asthme sévère. De surcroît, la corticothérapie provoque également une diminution de la masse musculaire, selon la Dresse G______. A cela s’ajoute que la recourante souffre également d’un trouble dépressif diagnostiqué et traité par la Dresse G______. Elle est soignée pour cette affection par des antidépresseurs. Toutefois, manifestement, les symptômes de ce trouble de l’humeur persistent, comme il a pu être constaté lors de l’audition de la recourante. Certes, une psychothérapie n'a pas été mise en place. Cependant, comme le relève la recourante, il lui serait difficile d'entreprendre un travail psychothérapeutique pour des raisons linguistiques.</w:t>
      </w:r>
    </w:p>
    <w:p>
      <w:r>
        <w:rPr>
          <w:b/>
        </w:rPr>
        <w:t>E. 12</w:t>
      </w:r>
    </w:p>
    <w:p>
      <w:r>
        <w:t>Au vu de ce qui précède, il sied de constater que l’instruction du dossier est incomplète. Cela étant, il y a lieu de renvoyer la cause à l’intimé afin qu’il procède à une expertise multidisciplinaire par un pneumologue, un allergologue et immunologue, un spécialiste en médecine interne et un psychiatre-psychothérapeute, ainsi que tout autre spécialiste que le SMR jugera nécessaire.</w:t>
      </w:r>
    </w:p>
    <w:p>
      <w:r>
        <w:rPr>
          <w:b/>
        </w:rPr>
        <w:t>E. 13</w:t>
      </w:r>
    </w:p>
    <w:p>
      <w:r>
        <w:t>La décision querellée sera par conséquent annulée et la cause renvoyée à l’intimé pour instruction complémentaire au sens des considérants.</w:t>
      </w:r>
    </w:p>
    <w:p>
      <w:r>
        <w:rPr>
          <w:b/>
        </w:rPr>
        <w:t>E. 14</w:t>
      </w:r>
    </w:p>
    <w:p>
      <w:r>
        <w:t>Dans la mesure où la recourante obtient partiellement gain de cause, une indemnité de CHF 2'500.- lui est octroyée à titre de dépens.</w:t>
      </w:r>
    </w:p>
    <w:p>
      <w:r>
        <w:rPr>
          <w:b/>
        </w:rPr>
        <w:t>E. 15</w:t>
      </w:r>
    </w:p>
    <w:p>
      <w:r>
        <w:t>Un émolument de justice, fixé à CHF 200.-, sera mis à la charge de l’intimé qui succombe.</w:t>
      </w:r>
    </w:p>
    <w:p>
      <w:r>
        <w:t>***</w:t>
      </w:r>
    </w:p>
    <w:p>
      <w:r>
        <w:t>A/1868/2018 - 16/16 -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