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ATAS/1018/2017 vom 2. November 2017</w:t>
      </w:r>
    </w:p>
    <w:p>
      <w:r>
        <w:t>GE Cour de justice, 2017-11-02, FR</w:t>
      </w:r>
    </w:p>
    <w:p>
      <w:r>
        <w:rPr>
          <w:b/>
        </w:rPr>
        <w:t xml:space="preserve">Quelle: </w:t>
      </w:r>
      <w:r>
        <w:t>https://mcp.opencaselaw.ch/entscheid/ge_gerichte_ATAS_1018_2017</w:t>
      </w:r>
    </w:p>
    <w:p>
      <w:r>
        <w:t>FR: GE_GERICHTE ATAS/1018/2017 du 2 novembre 2017</w:t>
      </w:r>
    </w:p>
    <w:p>
      <w:r>
        <w:t>IT: GE_GERICHTE ATAS/1018/2017 del 2 novembre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recours est recevable (art. 56 ss LPGA). Le litige porte sur le bien-fondé de la créance de l'intimée à l'encontre du recourant (CHF 820.50 [primes d’assurance LAMal d’avril à juillet 2016]), avec intérêts à 5% à compter du 8 juin 2016, à laquelle s'ajoutent CHF 130.- de frais administratifs et les frais de poursuites. En revanche, la demande du recourant visant à la condamnation de l’intimée pour « atteinte à son intégrité » excède l'objet du litige, dès lors qu'elle ne fait pas l'objet de la décision litigieuse, d’une part, que la Cour de céans n’officie pas en tant qu’autorité de surveillance de l’intimée, d’autre part.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w:t>
      </w:r>
    </w:p>
    <w:p>
      <w:r>
        <w:t>A/1322/2017 - 7/11 - citées). L'objet du litige dans la procédure administrative subséquente est le rapport juridique qui – dans le cadre de l'objet de la contestation déterminé par la décision – constitue, d'après les conclusions du recours, l'objet de la décision effectivement attaquée.</w:t>
      </w:r>
    </w:p>
    <w:p>
      <w:r>
        <w:rPr>
          <w:b/>
        </w:rPr>
        <w:t>E. 4</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 art. 90 al. 3 OAMal ; depuis le 1er août 2007 :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w:t>
      </w:r>
    </w:p>
    <w:p>
      <w:r>
        <w:rPr>
          <w:b/>
        </w:rPr>
        <w:t>E. 5</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 arrêt du Tribunal fédéral 9C_903/2009 du 11 décembre 2009 consid. 2.1).</w:t>
      </w:r>
    </w:p>
    <w:p>
      <w:r>
        <w:t>A/1322/2017 - 8/11 -</w:t>
      </w:r>
    </w:p>
    <w:p>
      <w:r>
        <w:rPr>
          <w:b/>
        </w:rPr>
        <w:t>E. 6</w:t>
      </w:r>
    </w:p>
    <w:p>
      <w:r>
        <w:t>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 cf. art. 68 al. 1 LP). A cet égard, les conditions d'assurance de l’intimée prévoient que les frais résultant du retard dans l'acquittement des primes et participations des coûts, tels que les frais de rappel, d'encaissement, sont à la charge de la personne assurée (art. 5.5 des «Conditions d'assurance BASIS»).</w:t>
      </w:r>
    </w:p>
    <w:p>
      <w:r>
        <w:rPr>
          <w:b/>
        </w:rPr>
        <w:t>E. 7</w:t>
      </w:r>
    </w:p>
    <w:p>
      <w:r>
        <w:t>En l'espèce, il est établi par pièces que le recourant est débiteur des primes d’avril à juillet 2016.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maints arrêts rendus précédemment pour des faits similaires (cf. partie en fait). En l'occurrence, l'intimée a dûment sommé le recourant de s'acquitter des primes pour le paiement desquelles il était en retard, avant d'engager une poursuite à son encontre. Le commandement de payer a été précédé d'une série de factures et</w:t>
      </w:r>
    </w:p>
    <w:p>
      <w:r>
        <w:t>A/1322/2017 - 9/11 - rappels permettant au recourant d'identifier clairement les montants à payer, notamment les frais supplémentaires engendrés. L'intimée a ainsi scrupuleusement suivi la procédure légale préalable à l'introduction de la poursuite. La procédure de recouvrement des primes a engendré des frais de rappel, d'intervention et de poursuite, du fait du comportement fautif de l'assuré, qui ne s'est pas exécuté à temps. Dès lors que le recourant n'a pas apporté la preuve qu'il s'est bien acquitté des primes qui lui sont réclamées, l'intimée était fondée à lui en réclamer le paiement par la voie de la poursuite, et à lever son opposition au commandement de payer à hauteur du montant des frais et intérêts restés impayés, conformément aux dispositions légales et à la jurisprudence susmentionnée. Au surplus, on voit mal comment la période litigieuse aurait pu faire l’objet d’une autre poursuite - portant, selon le recourant, le même numéro. Mal fondé, le recours est rejeté</w:t>
      </w:r>
    </w:p>
    <w:p>
      <w:r>
        <w:rPr>
          <w:b/>
        </w:rPr>
        <w:t>E. 8</w:t>
      </w:r>
    </w:p>
    <w:p>
      <w:r>
        <w:t>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diverses procédures antérieures en matière de primes et de participation aux coûts des prestations d'assurance, à l'issue desquelles il n'a pas obtenu gain de cause. Ce</w:t>
      </w:r>
    </w:p>
    <w:p>
      <w:r>
        <w:t>A/1322/2017 - 10/11 - nonobstant, il persiste à interjeter recours contre des décisions portant sur le paiement de ses primes d'assurance-maladie, sachant d'ores et déjà que ses griefs sont mal fondés. Il a par ailleurs déjà fait l'objet de plusieurs amendes pour plaideur téméraire dans des procédures antérieures et était ainsi avisé du risque qu’il courait à se voir condamner à une nouvelle amende. Eu égard des éléments précités, une amende pour plaideur téméraire d'un montant de CHF 1’000.- lui sera dès lors infligée, étant rappelé que celle-ci peut aller jusqu'à CHF 5'000.- (art. 88 al. 2 LPA).</w:t>
      </w:r>
    </w:p>
    <w:p>
      <w:r>
        <w:t>A/1322/2017 - 11/11 -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