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ATAS/1017/2021 vom 4. Oktober 2021</w:t>
      </w:r>
    </w:p>
    <w:p>
      <w:r>
        <w:t>GE Cour de justice, 2021-10-04, FR</w:t>
      </w:r>
    </w:p>
    <w:p>
      <w:r>
        <w:rPr>
          <w:b/>
        </w:rPr>
        <w:t xml:space="preserve">Quelle: </w:t>
      </w:r>
      <w:r>
        <w:t>https://mcp.opencaselaw.ch/entscheid/ge_gerichte_ATAS_1017_2021</w:t>
      </w:r>
    </w:p>
    <w:p>
      <w:r>
        <w:t>FR: GE_GERICHTE ATAS/1017/2021 du 4 octobre 2021</w:t>
      </w:r>
    </w:p>
    <w:p>
      <w:r>
        <w:t>IT: GE_GERICHTE ATAS/1017/2021 del 4 ottobre 2021</w:t>
      </w:r>
    </w:p>
    <w:p>
      <w:pPr>
        <w:pStyle w:val="Heading2"/>
      </w:pPr>
      <w:r>
        <w:t>Erwägungen</w:t>
      </w:r>
    </w:p>
    <w:p>
      <w:r>
        <w:rPr>
          <w:b/>
        </w:rPr>
        <w:t>E. 18</w:t>
      </w:r>
    </w:p>
    <w:p>
      <w:r>
        <w:t>juin 2020, avoir reçu « mardi » (16 juin 2020) un appel téléphonique de l'assurée, qui prétendait l'avoir eue au téléphone juste après l'assignation, en alléguant que la responsable RH l'aurait invitée à envoyer tout de même son dossier par courriel malgré le délai dépassé. Ces éléments, parmi d'autres relevés ci-dessus dans les faits retenus, démontrent que la recourante ne saurait être suivie dans ses explications. La chambre de céans relèvera encore qu'il ressort du dossier de</w:t>
      </w:r>
    </w:p>
    <w:p>
      <w:r>
        <w:t>A/2374/2020 - 15/17 - l'intimé que l'entretien de conseil qui a précédé l'envoi de l'assignation litigieuse datait de la veille du courriel d'assignation, et que l'entretien postérieur audit envoi était intervenu le 3 janvier 2020 (information confirmée par la recourante et sa conseillère le 27 septembre 2021), soit postérieurement à la date d'échéance du délai dans lequel la recourante était invitée à faire acte de candidature, mais surtout postérieurement à la date à laquelle l'assurée prétendait d'une part avoir envoyé sa postulation le 20 décembre 2019 par courrier postal, et à l'entretien téléphonique prétendument relaté par l'assurée à la responsable des RH, le 16 juin 2020. Du reste, sur recours, la recourante ne conteste finalement plus ne pas avoir postulé au poste vacant litigieux, insistant bien plutôt sur sa situation financière et ses difficultés à retrouver un emploi. La faute de la recourante est ainsi établie, et c'est à juste titre que l'intimé l'a sanctionnée. 7. Reste à savoir si la quotité de la sanction était justifiée. La recourante a finalement admis sa faute, et notamment indiqué que c'était lors de l'entretien de conseil du 3 janvier 2020, que sa conseillère en personnel lui avait reproché de ne pas avoir postulé suite à cette assignation, et qu'elle aurait immédiatement après constaté que le courriel d'assignation se trouvait bien (le 18 décembre 2019) dans sa boite mail. Elle considère toutefois que cette erreur ne serait pas volontaire et qu'à ce titre, elle ne devrait pas être sanctionnée au vu de sa situation financière difficile et de ses faibles connaissances en informatique. Comme le rappelle la jurisprudence, l'examen de la quotité de la suspension dépend uniquement de la gravité de la faute, de sorte que les situations personnelle et financière d'un assuré ne sont pas des éléments à prendre en considération (ATF 113 V 154; DTA 1999 p. 183). L’intimé a fixé la sanction au minimum de 31 jours prévu par l’art. 45 al. 4 OACI, repris par le ch. D 79 2.B 1 du Bulletin LACI IC. Force est de constater, au vu de la jurisprudence rappelée ci-dessus, qu'aucune circonstance particulière ne justifiait en l'espèce de s’écarter de la présomption qu’un défaut de suite donnée à une assignation procède d’une faute grave et doit dès lors, s’agissant d’un premier manquement, donner lieu à une suspension minimale de 31 jours du droit à l’indemnité de chômage. On précise encore que, dans un arrêt très récent, concernant une cause genevoise, le Tribunal fédéral, sur recours du SECO, a cassé l'arrêt cantonal, estimant que la juridiction inférieure avait, sans motif valable, réduit la sanction infligée par l'OCE, en qualifiant la faute de moyennement grave au lieu de grave. Après avoir rappelé que si les circonstances particulières le justifient, il était possible, exceptionnellement, de fixer un nombre de jours de suspension inférieur à 31 jours pour refus d'un emploi convenable ou assimilé, le Tribunal fédéral a cassé l'arrêt cantonal, considérant que c'était en violation du droit fédéral que la juridiction cantonale avait admis une faute moyennement grave (au lieu d'une faute grave), et réduit la durée de la suspension du droit à l'indemnité de 34 à 16 jours. Il s'agissait dans ce cas-là, d'un justiciable qui avait effectivement postulé dans le délai imparti, mais en commettant une erreur dans l'adresse courriel du destinataire (« xxxx. or »</w:t>
      </w:r>
    </w:p>
    <w:p>
      <w:r>
        <w:t>A/2374/2020 - 16/17 - au lieu de « xxxx.org »), le Tribunal fédéral considérant que le demandeur d'emploi n'avait pas fait preuve de la diligence exigée par la jurisprudence pour une postulation par courrier électronique (arrêt du Tribunal fédéral 8C_756/2020 du 3 août 2021), reprochant notamment à la juridiction cantonale d'avoir considéré que le degré de gravité de la faute apparaissait moindre que celui d'un assuré qui n'aurait même pas tenté d'envoyer sa candidature, ce qui l'avait conduite à considérer que la faute ne serait que moyennement grave. 8. La chambre de céans veut bien croire que la recourante n'est pas experte en informatique, qu'elle a même probablement des faiblesses en la matière, mais cet élément n'est pas de nature à justifier le fait qu'elle n'ait pas vérifié scrupuleusement sa boîte mail. Au contraire, dans la situation financière difficile où elle explique se trouver, de même que par rapport aux difficultés qu'elle rencontre à retrouver un emploi, elle se devait de redoubler d'attention, conformément aux engagements qu'elle avait pris dans le plan d'actions qu'elle avait signé. On remarquera d'ailleurs que la veille du courriel concernant l'assignation litigieuse, elle en avait reçu une précédente pour laquelle elle avait effectivement postulé, et confirmé immédiatement à sa conseillère en personnel l'avoir fait. Or cette conseillère, attentive à la situation de la recourante, avait immédiatement réagi, après avoir examiné le courriel de confirmation de la recourante quant à cette postulation. Elle lui avait fait observer divers aspects problématiques, comme on l'a vu, et tout ceci dans un courriel du 18 décembre 2019, jour même de l'envoi de l'assignation litigieuse. On soulignera ici la sollicitude et la conscience professionnelle de cette conseillère, qui a adressé de nombreuses assignations à l'assurée, ce que cette dernière ne pouvait ignorer; et partant, elle devait s'attendre à en recevoir régulièrement, ce qui impliquait un contrôle attentif de sa boîte de réception. Au vu de ce qui précède, force est de constater que l'intimé, s'étant tenu, dans la fixation de la quotité de la sanction, au minimum de la fourchette de sanction recommandée par les directives du SECO, a respecté le principe de la proportionnalité; la chambre de céans n'a ainsi aucun motif de s'écarter de l'appréciation de l'OCE dans le cas d'espèce. 9. Ainsi, le recours ne peut qu'être rejeté. 10. Pour le surplus, la procédure est gratuite.</w:t>
      </w:r>
    </w:p>
    <w:p>
      <w:r>
        <w:t>A/2374/2020 - 17/17 -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