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ATAS/1017/2014 vom 22. September 2014</w:t>
      </w:r>
    </w:p>
    <w:p>
      <w:r>
        <w:t>GE Cour de justice, 2014-09-22, FR</w:t>
      </w:r>
    </w:p>
    <w:p>
      <w:r>
        <w:rPr>
          <w:b/>
        </w:rPr>
        <w:t xml:space="preserve">Quelle: </w:t>
      </w:r>
      <w:r>
        <w:t>https://mcp.opencaselaw.ch/entscheid/ge_gerichte_ATAS_1017_2014</w:t>
      </w:r>
    </w:p>
    <w:p>
      <w:r>
        <w:t>FR: GE_GERICHTE ATAS/1017/2014 du 22 septembre 2014</w:t>
      </w:r>
    </w:p>
    <w:p>
      <w:r>
        <w:t>IT: GE_GERICHTE ATAS/1017/2014 del 22 settembre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Le recours, déposé dans les formes et délai prévus par la loi est recevable à la forme (art. 56 et 60 LPGA).</w:t>
      </w:r>
    </w:p>
    <w:p>
      <w:r>
        <w:rPr>
          <w:b/>
        </w:rPr>
        <w:t>E. 4</w:t>
      </w:r>
    </w:p>
    <w:p>
      <w:r>
        <w:t>La question préalable à l’examen d’éventuelles prestations à résoudre est de savoir si l’état de santé de la recourante s’est bel et bien amélioré en août 2012.</w:t>
      </w:r>
    </w:p>
    <w:p>
      <w:r>
        <w:rPr>
          <w:b/>
        </w:rPr>
        <w:t>E. 5</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RAMA 1985 p. 240 consid. 4 ; ATFA non publié I 751/03 du 19 mars 2004, consid. 3.3).</w:t>
      </w:r>
    </w:p>
    <w:p>
      <w:r>
        <w:rPr>
          <w:b/>
        </w:rPr>
        <w:t>E. 6</w:t>
      </w:r>
    </w:p>
    <w:p>
      <w:r>
        <w:t>Quel est le degré de gravité de chacun de ceux-ci, le cas échéant (faible, moyen, grave) ? )</w:t>
      </w:r>
    </w:p>
    <w:p>
      <w:r>
        <w:rPr>
          <w:b/>
        </w:rPr>
        <w:t>E. 7</w:t>
      </w:r>
    </w:p>
    <w:p>
      <w:r>
        <w:t>Ces troubles psychiques ont-ils valeur de maladie en tant que telle selon le DSM IV ou la CIM-10 ?</w:t>
      </w:r>
    </w:p>
    <w:p>
      <w:r>
        <w:rPr>
          <w:b/>
        </w:rPr>
        <w:t>E. 8</w:t>
      </w:r>
    </w:p>
    <w:p>
      <w:r>
        <w:t>Y a-t-il modification durable de la personnalité ?</w:t>
      </w:r>
    </w:p>
    <w:p>
      <w:r>
        <w:rPr>
          <w:b/>
        </w:rPr>
        <w:t>E. 9</w:t>
      </w:r>
    </w:p>
    <w:p>
      <w:r>
        <w:t>Quelles sont les limitations consécutives à chaque diagnostic?</w:t>
      </w:r>
    </w:p>
    <w:p>
      <w:r>
        <w:rPr>
          <w:b/>
        </w:rPr>
        <w:t>E. 10</w:t>
      </w:r>
    </w:p>
    <w:p>
      <w:r>
        <w:t>Comment ces troubles ont-ils évolué dans le temps, en particulier depuis 2012 ?</w:t>
      </w:r>
    </w:p>
    <w:p>
      <w:r>
        <w:rPr>
          <w:b/>
        </w:rPr>
        <w:t>E. 11</w:t>
      </w:r>
    </w:p>
    <w:p>
      <w:r>
        <w:t>Quelles sont, pour chaque diagnostic posé, ses conséquences sur la capacité de travail, en pourcent.</w:t>
      </w:r>
    </w:p>
    <w:p>
      <w:r>
        <w:rPr>
          <w:b/>
        </w:rPr>
        <w:t>E. 12</w:t>
      </w:r>
    </w:p>
    <w:p>
      <w:r>
        <w:t>Y a-t-il un seul épisode dépressif depuis 2011, sans amélioration durable, ou une amélioration significative en termes de capacité de travail ? Si oui, depuis quand ?</w:t>
      </w:r>
    </w:p>
    <w:p>
      <w:r>
        <w:rPr>
          <w:b/>
        </w:rPr>
        <w:t>E. 13</w:t>
      </w:r>
    </w:p>
    <w:p>
      <w:r>
        <w:t>Des idées suicidaires avec projet tous les 20 jours et des flashbacks 5 fois par semaine, comme relatés par le Dr H______, entravent-ils la capacité de travail ?</w:t>
      </w:r>
    </w:p>
    <w:p>
      <w:r>
        <w:t>A/2113/2013 - 11/11 -</w:t>
      </w:r>
    </w:p>
    <w:p>
      <w:r>
        <w:rPr>
          <w:b/>
        </w:rPr>
        <w:t>E. 14</w:t>
      </w:r>
    </w:p>
    <w:p>
      <w:r>
        <w:t>Indiquer l'évolution du taux d'incapacité de travail, en pourcent. En particulier, y a-t-il eu amélioration en août 2012 ? Si oui, dans quelle mesure ? Avec quelles conséquences en termes de capacité de travail ?</w:t>
      </w:r>
    </w:p>
    <w:p>
      <w:r>
        <w:rPr>
          <w:b/>
        </w:rPr>
        <w:t>E. 15</w:t>
      </w:r>
    </w:p>
    <w:p>
      <w:r>
        <w:t>Évaluer l'exigibilité, en pourcent, d'une activité lucrative adaptée et indiquer en quoi pourrait consister une telle activité.</w:t>
      </w:r>
    </w:p>
    <w:p>
      <w:r>
        <w:rPr>
          <w:b/>
        </w:rPr>
        <w:t>E. 16</w:t>
      </w:r>
    </w:p>
    <w:p>
      <w:r>
        <w:t>Dire s'il y a une diminution de rendement et la chiffrer.</w:t>
      </w:r>
    </w:p>
    <w:p>
      <w:r>
        <w:rPr>
          <w:b/>
        </w:rPr>
        <w:t>E. 17</w:t>
      </w:r>
    </w:p>
    <w:p>
      <w:r>
        <w:t>Évaluer les chances de succès d’une réadaptation professionnelle.</w:t>
      </w:r>
    </w:p>
    <w:p>
      <w:r>
        <w:rPr>
          <w:b/>
        </w:rPr>
        <w:t>E. 18</w:t>
      </w:r>
    </w:p>
    <w:p>
      <w:r>
        <w:t>Évaluer la possibilité d'améliorer la capacité de travail par des mesures médicales.</w:t>
      </w:r>
    </w:p>
    <w:p>
      <w:r>
        <w:rPr>
          <w:b/>
        </w:rPr>
        <w:t>E. 19</w:t>
      </w:r>
    </w:p>
    <w:p>
      <w:r>
        <w:t>Commenter et discuter de manière approfondie les avis médicaux figurant déjà au dossier, en particulier ceux des Drs H_____ et G_____. En particulier, l’affirmation selon laquelle la symptomatologie liée au stress post-traumatique perdure indépendamment de l’amélioration de celle liée à l’état dépressif vous convainc-elle ?</w:t>
      </w:r>
    </w:p>
    <w:p>
      <w:r>
        <w:rPr>
          <w:b/>
        </w:rPr>
        <w:t>E. 20</w:t>
      </w:r>
    </w:p>
    <w:p>
      <w:r>
        <w:t>Formuler un pronostic global.</w:t>
      </w:r>
    </w:p>
    <w:p>
      <w:r>
        <w:rPr>
          <w:b/>
        </w:rPr>
        <w:t>E. 21</w:t>
      </w:r>
    </w:p>
    <w:p>
      <w:r>
        <w:t>Toute remarque utile et proposition. 4. Invite l’expert à déposer à sa meilleure convenance un rapport en trois exemplaires à la chambre de céans. 5. Fixe aux parties un délai de 10 jours dès réception de la présente pour faire valoir d’éventuels motifs de récusation de l’expert désigné. 6.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