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ATAS/1017/2011 vom 19. Oktober 1995</w:t>
      </w:r>
    </w:p>
    <w:p>
      <w:r>
        <w:t>GE Cour de justice, 1995-10-19, FR</w:t>
      </w:r>
    </w:p>
    <w:p>
      <w:r>
        <w:rPr>
          <w:b/>
        </w:rPr>
        <w:t xml:space="preserve">Quelle: </w:t>
      </w:r>
      <w:r>
        <w:t>https://mcp.opencaselaw.ch/entscheid/ge_gerichte_ATAS_1017_2011</w:t>
      </w:r>
    </w:p>
    <w:p>
      <w:r>
        <w:t>FR: GE_GERICHTE ATAS/1017/2011 du 19 octobre 1995</w:t>
      </w:r>
    </w:p>
    <w:p>
      <w:r>
        <w:t>IT: GE_GERICHTE ATAS/1017/2011 del 19 ottobre 1995</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 et délai légaux, le recours est recevable (art. 56 à 60 LPGA).</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w:t>
      </w:r>
    </w:p>
    <w:p>
      <w:r>
        <w:rPr>
          <w:b/>
        </w:rPr>
        <w:t>E. 4</w:t>
      </w:r>
    </w:p>
    <w:p>
      <w:r>
        <w:t>Est litigieux en l'espèce le droit de la recourante à des prestations de l'assurance- invalidité sous la forme d'une rente.</w:t>
      </w:r>
    </w:p>
    <w:p>
      <w:r>
        <w:t>A/1701/2010 - 13/19 -</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L’assuré a droit à une rente entière s’il est invalide à 70% au moins, à trois quarts de rente s’il est invalide à 60% au moins, à une demi-rente s’il est invalide à 50% au moins ou à un quart de rente s’il est invalide à 40% au moins (cf. art. 28 al. 1 aLAI, teneur en vigueur du 1er janvier 2003 au 31 décembre 2007; art. 28 al. 2 LAI, nouvelle teneur en vigueur dès le 1er janvier 2008). Le droit à la rente prend naissance au plus tôt à la date dès laquelle l’assuré présente une incapacité de gain durable de 40 % au moins (art. 7 LPGA) ou lorsqu’il a présenté, en moyenne une incapacité de travail de 40 % au moins pendant une année sans interruption notable (art. 6 LPGA ; cf. art. 29 al. 1 aLAI, teneur en vigueur du 1er janvier 2003 au 31 décembre 2007). En vertu de l’art. 28 al. 1er LAI, en vigueur dès le 1er janvier 2008 (5ème révision 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A/1701/2010 - 14/19 -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c) Concernant la valeur probante d’un rapport médical, le Tribunal fédéral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les descriptions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(arrêt du Tribunal fédéral du 14 avril 2003, en la cause I 39/03, consid. 3.2 ;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w:t>
      </w:r>
    </w:p>
    <w:p>
      <w:r>
        <w:t>A/1701/2010 - 15/19 -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cas de divergence d’opinion entre médecins du SMR et médecins traitants, cela ne signifie pas encore qu'il soit de manière générale nécessaire de mettre en œuvre une nouvelle expertise. La valeur probante des rapports médicaux des uns et des autres doit bien plutôt s’apprécier au regard des critères exposés précédemment (ATFA non publié du 24 août 2006, I 938/05, consid. 3.2). Enfin, les rapports d'examen réalisés par le SMR selon l'art. 49 al. 2 RAI ne sont pas des expertises au sens de l'art. 44 LPGA et ne sont pas soumis aux mêmes exigences formelles (ATF 135 V 258 consid. 3.4). Pour autant, leur valeur probatoire est comparable à celle d'expertises, dans la mesure où elles satisfont aux exigences, définies par la jurisprudence, qui sont posées à une expertise médicale (ATFA non publié du 27 juillet 2010, 9C_104/2010, consid. 3.2.1 ; ATFA non publié du 6 juillet 2009, 9C_204/2009, consid. 3.3.2 et les références, passage non publié in ATF 135 V 254). 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w:t>
      </w:r>
    </w:p>
    <w:p>
      <w:r>
        <w:t>A/1701/2010 - 16/19 - comprendre le cheminement intellectuel et scientifique à la base de l'avis qu'il exprime »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7</w:t>
      </w:r>
    </w:p>
    <w:p>
      <w:r>
        <w:t>En l’espèce, conformément aux considérants de l’arrêt du TCAS du 11 février 2009 (ATAS/147/2009), l'OAI a confié l'expertise rhumatologique et psychiatrique aux Drs E___________, spécialiste FMH en psychiatrie et psychothérapie, et F___________, spécialiste FMH en médecine interne et en rhumatologie. Dans leur rapport, ces derniers relèvent que les examens, tant sur le plan somatique que sur le plan psychique, n'ont pas permis d'expliquer rationnellement les plaintes de la recourante. Il y a donc discordance entres les subjectif et objectif. La lombalgie chronique sur troubles trophostatiques de la post ménopause et la fibromyalgie ne justifient aucunement une incapacité de travail. De plus, sur le plan psychique, ni perte d'intégration sociale dans toutes les manifestations de la vie, ni état psychique cristallisé ne sont présents, de sorte que les critères diagnostics d'un trouble somatoforme invalidant ne sont pas remplis. Par conséquent, seul le diagnostic de dysthymie est retenu. Ce dernier n'étant pas une maladie psychiatrique invalidante, la capacité de travail de la recourante est complète. Les Drs E___________ et F___________ concluent leur expertise en mentionnant que la recourante s'est installée dans un rôle d'invalide dont elle ne veut pas sortir. Elle met en avant divers symptômes subjectifs, lesquels présentent pourtant d'importantes incohérences avec les éléments objectivables lors de l'examen psychiatrique. Par conséquent, ils estiment que l'effort à surmonter ses quelques symptômes psychiques associés à sa dysthymie reste raisonnablement exigible de la part de la recourante. En ce qui concerne l'expertise des Drs E___________ et F___________, il sied de préciser que, après un résumé médical complet du dossier depuis la première demande de prestation AI en 1994, il est fait mention d'une anamnèse détaillée du cas, notamment sur le plan familial, social, professionnel et systémique ainsi que des antécédents personnels. L'expertise fait état des plaintes actuelles de l'expertisée tant sur le plan somatique que sur le plan psychique. Sur l'état objectif, les experts ont décrit le status clinique, le status psychique, ont procédé à un examen</w:t>
      </w:r>
    </w:p>
    <w:p>
      <w:r>
        <w:t>A/1701/2010 - 17/19 - neurologique. Examinant les atteintes à la santé dont souffre la recourante, les experts posent des diagnostics clairs et répondent de façon précise aux questions soulevées aussi bien sur les limitations fonctionnelles que sur la capacité de travail de la recourante. Ils concluent à ce que la recourante bénéfice d'une capacité de travail complète, sans limitation ni diminution de rendement.</w:t>
      </w:r>
    </w:p>
    <w:p>
      <w:r>
        <w:rPr>
          <w:b/>
        </w:rPr>
        <w:t>E. 8</w:t>
      </w:r>
    </w:p>
    <w:p>
      <w:r>
        <w:t>La recourante conteste toute valeur probante à l'expertise des Drs E___________ et F___________, lui reprochant notamment le déroulement de l'entretien, des erreurs sur les faits retenus et une mauvaise appréciation de son cas. De plus, elle s'oppose au diagnostic retenu sur le plan psychique, à savoir une dysthymie, et conclut, à l’instar de son médecin psychiatre traitant, le Dr. D___________, à la présence de deux troubles psychiques invalidants et chroniques, à savoir un trouble dépressif récurrent et un trouble anxieux généralisé, qui ont pour conséquence une incapacité de travail complète avec un pronostic de récupération quasi nul. Tel n'est pas l'avis de la Cour de céans. En effet, il est manifeste que le rapport d'expertise des Drs E___________ et F___________ a fait l'objet d'une étude circonstanciée des points litigieux. Il se fonde sur des examens complets et prend en considération les plaintes exprimées par la recourante. Il est établi en pleine connaissance de l'anamnèse et les descriptions du contexte médical et l'appréciation de la situation médicale sont claires. Les conclusions sont dûment motivées. Cette expertise est convaincante et répond à tous les réquisits pour lui voir attribuer pleine valeur probante. Les éventuels malentendus au sujet du nombre de trajets effectués à destination du Portugal en car par la recourante ou encore le type de sortie qu'elle pratique ne sont d'aucune pertinence au regard de la présente demande de prestation AI. Interpellé par la Cour de céans, le Dr. E___________, dans un rapport complémentaire du 3 février 2011, confirme son diagnostic relatif à l'existence d'une dysthymie depuis l'âge de 29 ans et réfute un état dépressif d'intensité moyenne tel que retenu par le Dr. D___________ au motif des incohérences entre les déclarations subjectives de la recourante et les éléments objectivables. Par ailleurs, il souligne la contradiction quant à la démarche du Dr. D___________, lequel limite la posologie de manière minimale, d'une part, et estime le nombre de consultations psychothérapeutiques à raison d'une fois par mois comme suffisant, d'autre part, alors qu'il diagnostique un épisode dépressif d'intensité moyenne. Les enquêtes effectuées par la Cour de céans ne permettent pas de remettre en cause les conclusions des experts. En effet, les déclarations du Dr. D___________ n'ont apporté aucun élément pertinent nouveau puisqu'elles se basaient principalement sur les déclarations subjectives de la recourante et non sur un status psychiatrique détaillé. Ce même reproche a été formulé par le Dr. E___________ ainsi que par le SMR. Quant aux membres de la famille, ils n'ont que pu décrire le déroulement de</w:t>
      </w:r>
    </w:p>
    <w:p>
      <w:r>
        <w:t>A/1701/2010 - 18/19 - la vie quotidienne de la recourante, sans apporter d'élément pertinent à la présente procédure. La Cour de céans se ralliera donc aux conclusions de l'expertise, à savoir que la recourante ne présente aucune maladie somatique et/ou psychique invalidante, de sorte que sa capacité de travail est totale, sans limitation ni diminution de rendement.</w:t>
      </w:r>
    </w:p>
    <w:p>
      <w:r>
        <w:rPr>
          <w:b/>
        </w:rPr>
        <w:t>E. 9</w:t>
      </w:r>
    </w:p>
    <w:p>
      <w:r>
        <w:t>Au vu de ce qui précède, le recours, mal fondé, est rejeté.</w:t>
      </w:r>
    </w:p>
    <w:p>
      <w:r>
        <w:rPr>
          <w:b/>
        </w:rPr>
        <w:t>E. 10</w:t>
      </w:r>
    </w:p>
    <w:p>
      <w:r>
        <w:t>Conformément à l’art. 69 al. 1bis LAI, la procédure de recours en matière de contestations portant sur l’octroi ou le refus de prestations de l’AI devant le tribunal cantonal des assurances est soumise à des frais de justice. En l’occurrence, la recourante étant au bénéfice de l’assistance juridique, il est renoncé à la perception d’un émolument.</w:t>
      </w:r>
    </w:p>
    <w:p>
      <w:r>
        <w:t>A/1701/2010 - 19/19 -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