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ATAS/1017/2009 vom 17. Juni 2009</w:t>
      </w:r>
    </w:p>
    <w:p>
      <w:r>
        <w:t>GE Cour de justice, 2009-06-17, FR</w:t>
      </w:r>
    </w:p>
    <w:p>
      <w:r>
        <w:rPr>
          <w:b/>
        </w:rPr>
        <w:t xml:space="preserve">Quelle: </w:t>
      </w:r>
      <w:r>
        <w:t>https://mcp.opencaselaw.ch/entscheid/ge_gerichte_ATAS_1017_2009</w:t>
      </w:r>
    </w:p>
    <w:p>
      <w:r>
        <w:t>FR: GE_GERICHTE ATAS/1017/2009 du 17 juin 2009</w:t>
      </w:r>
    </w:p>
    <w:p>
      <w:r>
        <w:t>IT: GE_GERICHTE ATAS/1017/2009 del 17 giugno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la jonction des procédures A/2349/2009 et A/2351/2009 sous le numéro A/2349/2009. Principalement:</w:t>
      </w:r>
    </w:p>
    <w:p>
      <w:r>
        <w:rPr>
          <w:b/>
        </w:rPr>
        <w:t>E. 2</w:t>
      </w:r>
    </w:p>
    <w:p>
      <w:r>
        <w:t>Prend acte de l'annulation des décisions du 29 mai et du 17 juin 2009;</w:t>
      </w:r>
    </w:p>
    <w:p>
      <w:r>
        <w:rPr>
          <w:b/>
        </w:rPr>
        <w:t>E. 3</w:t>
      </w:r>
    </w:p>
    <w:p>
      <w:r>
        <w:t>Déclare le recours sans objet;</w:t>
      </w:r>
    </w:p>
    <w:p>
      <w:r>
        <w:rPr>
          <w:b/>
        </w:rPr>
        <w:t>E. 4</w:t>
      </w:r>
    </w:p>
    <w:p>
      <w:r>
        <w:t>Condamne l'intimé à verser à la recourante une indemnité de 1'000 fr.;</w:t>
      </w:r>
    </w:p>
    <w:p>
      <w:r>
        <w:rPr>
          <w:b/>
        </w:rPr>
        <w:t>E. 5</w:t>
      </w:r>
    </w:p>
    <w:p>
      <w:r>
        <w:t>Raye la cause du rôle;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