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ATAS/1016/2023 vom 19. Dezember 2023</w:t>
      </w:r>
    </w:p>
    <w:p>
      <w:r>
        <w:t>GE Cour de justice, 2023-12-19, FR</w:t>
      </w:r>
    </w:p>
    <w:p>
      <w:r>
        <w:rPr>
          <w:b/>
        </w:rPr>
        <w:t xml:space="preserve">Quelle: </w:t>
      </w:r>
      <w:r>
        <w:t>https://mcp.opencaselaw.ch/entscheid/ge_gerichte_ATAS_1016_2023</w:t>
      </w:r>
    </w:p>
    <w:p>
      <w:r>
        <w:t>FR: GE_GERICHTE ATAS/1016/2023 du 19 décembre 2023</w:t>
      </w:r>
    </w:p>
    <w:p>
      <w:r>
        <w:t>IT: GE_GERICHTE ATAS/1016/2023 del 19 dicembre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dans le litige déféré à la chambre de céans est une assurance collective d’indemnités journalières soumise à la LCA, comme cela ressort de la police d’assurance du 19 novembre 2018 et des conditions générales d’assurance, dans leur édition du 1er juin 2015 (ci-après : CGA), auxquelles celle- ci renvoie. La chambre de céans est donc compétente à raison de la matière pour statuer sur la demande.</w:t>
      </w:r>
    </w:p>
    <w:p>
      <w:r>
        <w:rPr>
          <w:b/>
        </w:rPr>
        <w:t>E. 1.2</w:t>
      </w:r>
    </w:p>
    <w:p>
      <w:r>
        <w:t>Sauf disposition contraire de la loi, pour les actions dirigées contre les personnes morales, le for est celui de leur siège (art. 10 al. 1 let. b CPC), étant précisé que l’art. 17 al. 1 CPC consacre la possibilité d’une élection de for écrite. En l’occurrence, l’art. B7 des CGA prévoit que pour tout litige résultant « du présent contrat », la défenderesse reconnaît la compétence des tribunaux du domicile suisse de la personne assurée ou de l’ayant droit. La demanderesse ayant son domicile à Genève, la chambre de céans est compétente à raison du lieu pour connaître de la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t>A/162/2023 - 9/24 -</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w:t>
      </w:r>
    </w:p>
    <w:p>
      <w:r>
        <w:t>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l’employeur et la défenderesse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3</w:t>
      </w:r>
    </w:p>
    <w:p>
      <w:r>
        <w:t>Le litige porte sur le point de savoir si la demanderesse peut bénéficier d’indemnités journalières au-delà du 31 mai 2022.</w:t>
      </w:r>
    </w:p>
    <w:p>
      <w:r>
        <w:rPr>
          <w:b/>
        </w:rPr>
        <w:t>E. 4</w:t>
      </w:r>
    </w:p>
    <w:p>
      <w:r>
        <w:t>La procédure simplifiée s’applique aux litiges portant sur des assurances complémentaires à l’assurance-maladie sociale au sens de la LAMal (art. 243 al. 2 let. f CPC) et la Cour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notamment d’un avocat (ATF 141 III 569 consid. 2.3.2 ; Stephan MAZAN, Basler Kommentar, ZPO, 3ème éd. 2017, n. 19, ad art. 247 CPC). Dans un tel cas, il ne revient notamment pas au juge d’élargir de lui-même le complexe de fait ou de rechercher les faits à l’aide de moyens de preuve allant au-delà de ceux proposés par la ou les partie(s) concernée(s) (arrêts du Tribunal fédéral 5A_875/2015 du 22 avril 2016 consid. 3.2.2 ; 5A_298/2015 du 30 septembre 2015 consid. 2.1.2). Il faut en effet partir du point de vue que les</w:t>
      </w:r>
    </w:p>
    <w:p>
      <w:r>
        <w:t>A/162/2023 - 10/24 - choix procéduraux réalisés par une partie assistée d’un avocat sont délibérés (cf. Denis TAPPY, Commentaire romand du CPC, 2e éd. 2019, n. 25 et 27 ad art. 247 CPC). 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w:t>
      </w:r>
    </w:p>
    <w:p>
      <w:r>
        <w:rPr>
          <w:b/>
        </w:rPr>
        <w:t>E. 5.1</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En tant que règle sur le fardeau de la preuve, il ne s’applique que si le juge, à l’issue de l’appréciation des preuves, ne parvient pas à se forger une conviction dans un sens positif ou négatif (ATF 132 III 626 consid. 3.4 ; 128 III 271 consid. 2b/aa). Ainsi, lorsque l’appréciation des preuves le convainc de la réalité ou de l’inexistence d’un fait, la question de la répartition du fardeau de la preuve ne se pose plus (ATF 128 III 271 consid. 2b/aa).</w:t>
      </w:r>
    </w:p>
    <w:p>
      <w:r>
        <w:rPr>
          <w:b/>
        </w:rPr>
        <w:t>E. 5.2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 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w:t>
      </w:r>
    </w:p>
    <w:p>
      <w:r>
        <w:t>A/162/2023 - 11/24 -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5.3</w:t>
      </w:r>
    </w:p>
    <w:p>
      <w:r>
        <w:t>La preuve de la survenance d’un sinistre et de l’étendue de la prétention incombe à son prétendu ayant droit (ATF 130 III 321 consid. 3.1 ; arrêt du Tribunal fédéral 4A_193/2008 du 8 juillet 2008 consid. 2.1.1; arrêt du Tribunal fédéral 4D_73/2007 du 12 mars 2008 consid. 2.2 ; ATAS/325/2019 du 15 avril 2019 consid. 9).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ce qui concerne la survenance d’un sinistre assuré, le degré de preuve nécessaire est en principe abaissé à la vraisemblance prépondérante (en lieu et place de la règle générale de la preuve stricte)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a modifié la jurisprudence précitée, en ce sens que l’existence d’un cas d’assurance constitué par une incapacité de travail est désormais soumise au degré de preuve de la preuve stricte (ATF 148 III 105 consid. 3.3.1 in fine). Cette précision de jurisprudence concerne le droit matériel et est donc directement applicable (ATF 146 I 105 consid. 5.2.1 ; ATF 140 IV 154 consid. 5.2.1), y compris au présent litige.</w:t>
      </w:r>
    </w:p>
    <w:p>
      <w:r>
        <w:t>A/162/2023 - 12/24 -</w:t>
      </w:r>
    </w:p>
    <w:p>
      <w:r>
        <w:rPr>
          <w:b/>
        </w:rPr>
        <w:t>E. 6.1</w:t>
      </w:r>
    </w:p>
    <w:p>
      <w:r>
        <w:t>L’art. 8 CC ne régit pas l’appréciation des preuves, de sorte qu’il ne prescrit pas quelles sont les mesures probatoires qui doivent être ordonnées (ATF 127 III 519 consid. 2a), ni ne dicte au juge comment forger sa conviction (ATF 128 III 22 consid. 2d; 127 III 248 consid. 3a, consid. 2a) ; cette disposition n’exclut pas non plus que le juge puisse, sur la base d’une appréciation anticipée des preuves déjà disponibles, refuser l’administration d’une preuve supplémentaire au motif qu’il la tient pour impropre à modifier sa conviction (ATF 131 III 222 consid. 4.3;129 III 18 consid. 2.6).</w:t>
      </w:r>
    </w:p>
    <w:p>
      <w:r>
        <w:rPr>
          <w:b/>
        </w:rPr>
        <w:t>E. 6.2</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 juge apprécie librement la force probante des preuves administrées en fonction des circonstances concrètes, sans être lié par des règles légales et sans être obligé de suivre un schéma précis (arrêt du Tribunal fédéral 5A_113/2015 du 3 juillet 2015 consid. 3.2). L’obligation du tribunal de motiver son appréciation des preuves, c’est-à-dire d’indiquer les raisons pour lesquels il considère un fait ou la conclusion d’une expertise comme établi, découle de l’obligation de motiver liée au droit d’être entendu (arrêt du Tribunal fédéral 5A_663/2015 du 7 mars 2015 consid. 3.1). Il n’a toutefois pas l’obligation d’exposer et de discuter tous les faits, moyens de preuve et griefs invoqués par les parties, mais peut au contraire se limiter à l’examen des questions décisives pour l’issue du litige (ATF 141 V 557 consid. 3.2.1).</w:t>
      </w:r>
    </w:p>
    <w:p>
      <w:r>
        <w:rPr>
          <w:b/>
        </w:rPr>
        <w:t>E. 6.3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w:t>
      </w:r>
    </w:p>
    <w:p>
      <w:r>
        <w:t>A/162/2023 - 13/24 - 4A_253/2007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6.3.1</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 rapport d’expertise contient des contradictions, lorsqu’une détermination ultérieure de son auteur vient la démentir sur des points importants, lorsqu’il contient des constatations factuelles erronées ou des lacunes, voire lorsqu’il se fonde sur des pièces dont le juge apprécie autrement la valeur probante ou la portée (ATF 110 Ib 52 consid. 2 ; arrêt du Tribunal fédéral 4D_8/2008 du 31 mars 2008 consid. 3.2.1).</w:t>
      </w:r>
    </w:p>
    <w:p>
      <w:r>
        <w:rPr>
          <w:b/>
        </w:rPr>
        <w:t>E. 6.3.2</w:t>
      </w:r>
    </w:p>
    <w:p>
      <w:r>
        <w:t>L’expertise, en tant que moyen de preuve admis au sens de l’art. 168 al. 1 let. d CPC (cf. ci-dessus : consid. 6.2), ne vise que l’expertise judiciaire au sens de l’art 183 al. 1 CPC. Une expertise privée n’est en revanche pas un moyen de preuve mais une simple allégation de partie (ATF 141 III 433 consid. 2.5.2 et 2.5.3).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non publié à l’ATF 144 III 136).</w:t>
      </w:r>
    </w:p>
    <w:p>
      <w:r>
        <w:rPr>
          <w:b/>
        </w:rPr>
        <w:t>E. 7</w:t>
      </w:r>
    </w:p>
    <w:p>
      <w:r>
        <w:t>La reconnaissance de l’existence d’une atteinte à la santé psychique suppose la présence d’un diagnostic émanant d’un expert (psychiatre) et s’appuyant selon les règles de l’art sur les critères d’un système de classification reconnu, tel la CIM</w:t>
      </w:r>
    </w:p>
    <w:p>
      <w:r>
        <w:t>A/162/2023 - 14/24 - ou le DSM-IV (ATF 143 V 409 consid. 4.5.2 ; ATF 141 V 281 consid. 2.2 et 3.2 ; arrêt du Tribunal fédéral 8C_841/2016 du 30 novembre 2017 consid. 4.5.2). En règle générale, toutes les affections psychiques doivent faire l’objet d’une procédure probatoire structurée au sens de l’arrêt ATF 141 V 281 (ATF 143 V 418).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 ATAS/700/2021 du 29 juin 2021 consid. 14 ; voir également : ATF 143 V 409 consid. 4.5.2).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 Le diagnostic émanant d’un expert (psychiatre) doit être justifié médicalement de telle manière que les personnes chargées d’appliquer le droit puissent vérifier que les critères de classification ont été effectivement respectés. Les médecins doivent en outre prendre en considération les critères d’exclusion de ce diagnostic retenus par la jurisprudence (ATF 141 V 281 consid. 2.1.1. et 2.2). Un expert psychiatre doit se voir reconnaître une certaine marge d’appréciation dans l’appréciation de l’incapacité de travail dès lors qu’une telle appréciation médicale est par essence en partie une question d’appréciation (ATF 145 V 361 consid. 4.1.2 ; ATF 137 V 210 consid. 3.4.2.3 ; ATF 130 V 352 consid. 2.2.4).</w:t>
      </w:r>
    </w:p>
    <w:p>
      <w:r>
        <w:rPr>
          <w:b/>
        </w:rPr>
        <w:t>E. 8.1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Étant donné que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w:t>
      </w:r>
    </w:p>
    <w:p>
      <w:r>
        <w:t>A/162/2023 - 15/24 - que les clauses contractuelles rédigées individuellement (ATF 133 III 675 consid. 3.3).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 se détermine donc sur la base des dispositions contractuelles liant l’assuré et l’assureur, en particulier des conditions générales ou spéciales d’assurance (arrêt du Tribunal fédéral 5C.263/2000 du 6 mars 2001 consid. 4a).</w:t>
      </w:r>
    </w:p>
    <w:p>
      <w:r>
        <w:rPr>
          <w:b/>
        </w:rPr>
        <w:t>E. 8.2</w:t>
      </w:r>
    </w:p>
    <w:p>
      <w:r>
        <w:t>En l’occurrence, la police d’assurance perte de gain conclue en 2018 par l’employeur auprès de la défenderesse prévoit le versement d’une indemnité journalière pour le personnel en cas de maladie, à hauteur de 80% du salaire durant 730 jours par cas, le délai d’attente étant de 14 jours. Selon l’édition de juin 2015 des CGA, à laquelle renvoie la police d’assurance, les prestations sont versées dès l’expiration du délai d’attente, pour toute incapacité de travail médicalement justifiée de 25% au moins, proportionnellement au degré de l’incapacité de travail attestée (art. C1 ch. 1 CGA). [L’assureur] verse […] l’allocation journalière assurée pendant une période maximale de 730 jours par cas de maladie. Le délai d’attente convenu est imputé sur la durée maximale du droit aux prestations. Pour le calcul de la durée des prestations, les jours d’incapacité de travail partielle d’au moins 25% comptent comme jours entiers (art. C5 ch. 1 al. 1 CGA). On entend par cas de maladie les causes et suites de l’atteinte à la santé ayant entraîné une incapacité de travail (art. C5 ch. 1 al. 2 CGA). Est réputée maladie toute atteinte à la santé physique, mentale ou psychique qui n’est pas due à un accident ou à une maladie professionnelle et qui exige un examen ou un traitement médical, ou provoque une incapacité de travail (art. D2 CGA) Est incapable de travailler la personne qui, en raison d’une maladie, ne peut exercer son activité professionnelle habituelle, ou, si l’incapacité de travail dure un certain temps, reste dans l’impossibilité d’exercer toute autre activité raisonnablement exigible eu égard à son état de santé et à ses aptitudes (art. D1 CGA). Pour les personnes qui n’ont pas encore atteint l’âge légal de la retraite selon l’AVS et qui sont en incapacité de travail au moment où elles quittent l’entreprise assurée, le droit aux prestations pour la maladie en cours est maintenu dans le cadre des dispositions de la présente assurance collective, au plus tard jusqu’à l’épuisement de la durée maximale des prestations. En outre, les prestations sont limitées au degré d’incapacité de travail existant lorsque la personne assurée quitte le cercle des personnes assurées (art. C5 ch. 6 CGA).</w:t>
      </w:r>
    </w:p>
    <w:p>
      <w:r>
        <w:rPr>
          <w:b/>
        </w:rPr>
        <w:t>E. 9</w:t>
      </w:r>
    </w:p>
    <w:p>
      <w:r>
        <w:t>A/162/2023 - 16/24 -</w:t>
      </w:r>
    </w:p>
    <w:p>
      <w:r>
        <w:rPr>
          <w:b/>
        </w:rPr>
        <w:t>E. 9.1</w:t>
      </w:r>
    </w:p>
    <w:p>
      <w:r>
        <w:t>En l’espèce, il est constant que la demanderesse présentait une atteinte à la santé incapacitante du 8 février 2021 au 31 mai 2022 et que la défenderesse a accepté, après écoulement du délai d’attente, de verser des indemnités journalières du 22 février 2021 au 31 mai 2022, date correspondant au dernier jour de son incapacité de travail – selon les conclusions du Dr F______ – et coïncidant aussi avec la fin de son contrat de travail. Les parties s’opposent en revanche sur la persistance d’une incapacité de travail au-delà du 31 mai 2022.</w:t>
      </w:r>
    </w:p>
    <w:p>
      <w:r>
        <w:rPr>
          <w:b/>
        </w:rPr>
        <w:t>E. 9.2</w:t>
      </w:r>
    </w:p>
    <w:p>
      <w:r>
        <w:t>Il est par conséquent nécessaire d’examiner s’il existe des motifs suffisants pour considérer que la demanderesse avait recouvré, dès le 1er juin 2022, une capacité de travail entière. Pour ce faire, il convient de rappeler ci-après les avis médicaux invoqués par les parties (consid. 9.2.1) et d’en examiner la valeur probante (consid. 9.2.2).</w:t>
      </w:r>
    </w:p>
    <w:p>
      <w:r>
        <w:rPr>
          <w:b/>
        </w:rPr>
        <w:t>E. 9.2.1</w:t>
      </w:r>
    </w:p>
    <w:p>
      <w:r>
        <w:t>Après avoir envisagé, dans un premier temps, de ne verser des indemnités journalières à la demanderesse que jusqu’au 28 février 2022, la défenderesse en a prolongé le versement jusqu’au 31 mai 2022 sur la base des expertises privées rhumatologique (Dr E______) et psychiatrique (Dr F______), concluant, sur le plan rhumatologique, à la présence d’une fibromyalgie – dont l’évaluation sur le plan de la capacité de travail incombait à un psychiatre – et, sur le plan psychiatrique, à un épisode dépressif d’intensité moyenne avec un syndrome somatique (F32.11), justifiant (à lui seul) une incapacité de travail totale dans toute activité jusqu’au 31 mai 2022. Puisque la fibromyalgie diagnostiquée par le Dr E______ (qualifiée de trouble somatoforme douloureux par le Dr F______) ne remplissait pas les indices de gravité pour être qualifiée d’incapacitante et que le pronostic était favorable pour l’évolution de l’épisode dépressif d’intensité moyenne avec syndrome somatique (F32.11), le Dr F______ a estimé qu’à partir du 1er juin 2022, la capacité de travail était entière « auprès d’un autre employeur ou du chômage », mais qu’elle demeurait nulle auprès de l’employeur actuel, pour une durée indéterminée. En vue d’une prolongation de la prise en charge des indemnités journalières au-delà du 31 mai 2022, la demanderesse a produit plusieurs rapports de son psychiatre traitant, le Dr G______ lequel continuait à attester, le 14 novembre 2022 (et même au-delà ; cf. le rapport du 5 avril 2023 de ce médecin, produit sous pièce 27 dem.), que la demanderesse était en incapacité de travail totale dans toute activité. Dans un avis du 1er décembre 2022, auquel la défenderesse se réfère pour maintenir sa position, le Dr I______ a indiqué en substance que, dans la mesure où le rapport du 14 novembre 2022 du Dr G______ mentionnait un état stationnaire depuis que la demanderesse était suivie par ce psychiatre (décembre 2021), cet état était donc équivalent à celui constaté par le Dr F______ en mars 2022, si bien que le Dr G______ appréciait de manière différente un même état de</w:t>
      </w:r>
    </w:p>
    <w:p>
      <w:r>
        <w:t>A/162/2023 - 17/24 - fait en raison d’un phénomène d’amplification des plaintes douloureuses et psychiatriques déjà relevé par le Dr F______. À la suite de leur examen rhumato-psychiatrique du 20 février 2023, les Drs J______ et K______ ont estimé, dans leur rapport du 24 mars 2023, que les diagnostics avec répercussion durable sur la capacité de travail étaient la fibromyalgie (M79.0) et des lombalgies chroniques, non déficitaires, dans un contexte de troubles dégénératifs articulaires postérieurs étagés, considérés comme modérés en L4-L5 et L5-S1 à gauche. Étaient en revanche sans répercussion sur la capacité de travail l’obésité de classe 2, les troubles anxieux et dépressifs mixtes, succédant à un trouble de l’adaptation, réaction mixte anxieuse et dépressive (F41.2), l’accentuation de traits de la personnalité, à la fois anxieux et dépendants (Z73.1) ainsi qu’un état de stress post-traumatique en rémission (pas de code CIM). Le Dr K______ a considéré que même si sur le plan rhumatologique, le tableau prédominant était celui d’une fibromyalgie avec des douleurs ubiquitaires des quatre membres et du rachis, il ne pouvait pas exclure que les troubles dégénératifs articulaires postérieurs participaient en partie aux douleurs lombaires de la demanderesse. Se référant à une IRM lombaire du 19 février 2021, il a estimé que les troubles dégénératifs articulaires postérieurs en L4-L5 et L5-S1 à gauche allaient au-delà de ce qui était attendu pour l’âge de la demanderesse et pouvaient être considérés comme significatifs (pièce 28 dem., p. 22) et à l’origine de limitations fonctionnelles qui impliquaient l’absence de mouvements répétés de flexion-extension du tronc, d’attitude prolongée en porte-à-faux, de position assise ou debout prolongée au-delà d’une heure, de position debout statique au- delà de 20 minutes, de marche sans s’arrêter au-delà du kilomètre, et de port de charges répété au-delà de 5 kg. En conséquence, on ne pouvait pas suivre l’avis du Dr E______ qui – s’étant basé sur le compte-rendu radiologique relatif à cette même IRM, décrivant des troubles dégénératifs articulaires postérieurs débutants – jugeait que les douleurs présentées par la demanderesse étaient uniquement en relation avec la fibromyalgie. Sur la base de ces éléments, le Dr K______ a retenu, d’un point de vue rhumatologique, une incapacité de travail totale dans l’activité habituelle d’employée d’entretien et de concierge, ce depuis le début de l’incapacité de travail durable (8 février 2021). Il a précisé que la capacité de travail exigible était déterminée par la tolérance mécanique du rachis lombaire et que cette dernière permettait l’exigibilité complète d’une activité adaptée aux limitations fonctionnelles précitées depuis le 8 février 2021 (pièce 28 dem., p. 31). Quant à la fibromyalgie, elle ne justifiait pas de limitations fonctionnelles durables d’ordre ostéo-articulaire. D’un point de vue assurantiel, cette affection était apparentée au trouble somatoforme douloureux, si bien que les critères de gravité éventuels devaient être appréciés par le co-expert psychiatre J______. Ce dernier a estimé qu’il ne pouvait pas retenir le diagnostic de trouble somatoforme douloureux (contrairement aux Drs G______ et F______), dans la mesure où la</w:t>
      </w:r>
    </w:p>
    <w:p>
      <w:r>
        <w:t>A/162/2023 - 18/24 - détresse, qui était essentielle à ce diagnostic, apparaissait seulement à l’occasion d’efforts lourds, mais n’était pas clairement objectivée à l’examen. Par ailleurs, si, effectivement, le trouble somatoforme douloureux retenu par les médecins précités était survenu dans un contexte de conflits émotionnels, cela pouvait aussi être le cas pour la fibromyalgie. En analysant ce dernier diagnostic à l’aune des indicateurs standards, il n’existait pas de troubles psychiatriques empêchant la demanderesse de mobiliser ses ressources et de chercher à maintenir un certain degré d’autonomie malgré ses douleurs (soit en ne comptant sur les ressources de sa famille que dans des situations isolées). En revanche, la fatigue, générée par l’effort et les douleurs, était légèrement incapacitante. Ainsi, il convenait de s’écarter de l’appréciation du Dr F______ qui rattachait la fatigue à un épisode dépressif en rémission progressive et non pas à la capacité à mobiliser ses ressources (que le Dr F______ estimait donnée), dès lors que la fatigue avait précédé d’un an les symptômes dépressifs. Le Dr J______ a précisé que bien que les symptômes dépressifs aggravaient la fatigue et que le sentiment de fatigue était décrit comme permanent par la demanderesse, le sentiment en question n’avait été objectivé ni lors de l’expertise du Dr F______ de mars 2022 – seul un ralentissement psychomoteur modéré étant relevé – ni lors de l’examen du 20 février 2023. Enfin, l’anamnèse montrait une fatigue aggravée à l’effort et liée aux douleurs. De ce fait, le diagnostic de fibromyalgie était partiellement incapacitant et l’était depuis le 8 février 2021 (soit le début de l’incapacité de travail). Pour le reste, le Dr J______ a expliqué qu’il admettait bien la présence d’un épisode dépressif réactionnel après février 2021, mais qu’après quelques mois (l’expertise de mars 2022 pas plus que l’examen du 20 février 2023 ne pouvaient fixer de date plus précise), il n’existait plus les deux critères majeurs minimum pour parler d’épisode dépressif. En revanche, il était possible de retenir un trouble anxieux et dépressif mixte (F41.2) ayant succédé à un trouble de l’adaptation avec réaction dépressive prolongée. Ce diagnostic (F41.2) reflétait davantage une différence d’interprétation par rapport au diagnostic d’épisode dépressif sévère, sans symptômes psychotiques (F32.2), actuellement en rémission partielle, posé par le Dr F______, pour prendre en compte le caractère réactionnel (amenant d’abord à un trouble de l’adaptation avec réaction dépressive prolongée) et le fait qu’il existait également des troubles anxieux modérés, confirmés d’ailleurs lors de l’examen du 20 février 2023. Le Dr J______ s’écartait de l’expertise du Dr F______, en jugeant qu’il n’y avait jamais eu de limitations fonctionnelles, même quand la tristesse était permanente. De ce fait, le diagnostic de trouble anxieux et dépressif mixte (F41.2) n’était pas incapacitant et ne l’avait jamais été. S’agissant du diagnostic, l’accentuation de traits de la personnalité à la fois anxieux et dépendants (Z73.1) et de son absence d’effet sur la capacité de travail, le Dr J______ se ralliait à l’appréciation du Dr F______ à ceci près qu’il jugeait inexistant le risque d’une éventuelle décompensation. Enfin, quant au diagnostic d’état de stress post-traumatique – que le Dr J______ motivait par le fait que la demanderesse avait découvert, en avril 2021, le corps d’une de ses</w:t>
      </w:r>
    </w:p>
    <w:p>
      <w:r>
        <w:t>A/162/2023 - 19/24 - amies morte à son domicile –, il était en rémission depuis avril 2022 et n’était pas incapacitant. En synthèse, le Dr J______ a estimé que l’incapacité de travail avait commencé le 8 février 2021. Selon l’examen effectué, comprenant l’analyse de la vie quotidienne et de l’anamnèse, cette incapacité n’était liée qu’à des limitations fonctionnelles liées à la fatigue, elle-même liée en partie à l’effort et à la mobilisation des ressources pour combattre les douleurs. Dans la mesure où la vie quotidienne de la demanderesse s’en trouvait peu influencée (hormis pour les tâches lourdes), l’incapacité de travail était de 50% dans l’activité habituelle de gardienne d’immeubles et d’agente d’entretien. À l’inverse, dans une activité adaptée aux limitations fonctionnelles (découlant du diagnostic de fibromyalgie), entraînant moins d’efforts et de fatigue, l’incapacité de travail n’était que de 30%. Cette incapacité de travail n’avait pas évolué avec le temps. Au final, les Drs K______ et J______ ont estimé de façon consensuelle que depuis le 8 février 2021, la capacité de travail exigible de la demanderesse était de 0% dans les activités d’entretien, nettoyage des bureaux et de conciergerie, et de 70% dans une activité adaptée.</w:t>
      </w:r>
    </w:p>
    <w:p>
      <w:r>
        <w:rPr>
          <w:b/>
        </w:rPr>
        <w:t>E. 9.2.2</w:t>
      </w:r>
    </w:p>
    <w:p>
      <w:r>
        <w:t>Il ressort des rapports médicaux résumés ci-dessus que la persistance d’une incapacité de travail dans toute activité au-delà du 31 mai 2022, attestée à plusieurs reprises par le Dr G______, a été confirmée par les Drs K______ et J______ pour ce qui concerne l’activité de concierge que la demanderesse exerçait au moment de la survenance de son incapacité de travail le 8 février 2021. Le rapport d’examen bi-disciplinaire de ces médecins prend position de manière détaillée sur les rapports d’expertise privée des Drs E______ et F______ et explique de façon motivée et convaincante les raisons pour lesquelles les experts s’en écartent. Tenant compte, par ailleurs, des plaintes de la demanderesse, comportant une anamnèse détaillée, des conclusions claires et cohérentes, rendues à la lumière des indicateurs jurisprudentiels (pour le volet psychiatrique de l’examen), ce rapport d’examen bi-disciplinaire remplit en principe les réquisits permettant de lui reconnaître valeur probante. On ajoutera que bien qu’il ne s’agisse pas d’une expertise judiciaire au sens de l’art. 183 al. 1 CPC, ce rapport n’en constitue pas moins un indice objectif venant conforter la persistance de l’incapacité de travail de la demanderesse attestée par le Dr G______ (cf. ci- dessus : consid. 6.3.2). Le fait que le médecin-conseil de la défenderesse, dans un avis du 1er décembre 2022 – au demeurant antérieur à l’examen bi-disciplinaire – persiste à se référer aux conclusions du Dr F______ n’y change rien, d’autant que le Dr F______ a indiqué par courriel du 6 février 2023 à la défenderesse qu’il manquait d’éléments pour confirmer ou infirmer une aggravation survenue après l’entretien d’expertise et que pour « clarifier la situation […], une expertise ou un avis rhumatologique [apparaissait] utile, car les limitations semblent plutôt algiques » (cf. pièce 106 déf.). Or, force est de constater que le rapport d’examen rhumato-psychiatrique rendu le 24 mars 2023 par les médecins du SMR répond de façon convaincante aux besoins d’informations complémentaires évoqués par le</w:t>
      </w:r>
    </w:p>
    <w:p>
      <w:r>
        <w:t>A/162/2023 - 20/24 - Dr F______ lui-même dans son courriel du 6 février 2023. Sur la base de ces éléments, la chambre de céans considère qu’il est établi, au degré requis de la preuve stricte (ci-dessus : consid. 5.3 in fine), que l’incapacité de travail complète de la demanderesse s’est maintenue au-delà du 31 mai 2022 et qu’elle était toujours d’actualité le 20 février 2023, soit à la date de l’examen rhumato- psychiatrique des Drs K______ et J______. Partant, la chambre de céans se dispensera, par appréciation anticipée des preuves, d’organiser une audience de débats et de donner suite aux mesures d’instruction sollicitées par la demanderesse.</w:t>
      </w:r>
    </w:p>
    <w:p>
      <w:r>
        <w:rPr>
          <w:b/>
        </w:rPr>
        <w:t>E. 10</w:t>
      </w:r>
    </w:p>
    <w:p>
      <w:r>
        <w:t>Il reste à examiner si le fait que les Drs K______ et J______ retiennent une capacité de travail de 70% dans une activité adaptée, depuis le 8 février 2021, est de nature à influencer l’issue du litige.</w:t>
      </w:r>
    </w:p>
    <w:p>
      <w:r>
        <w:rPr>
          <w:b/>
        </w:rPr>
        <w:t>E. 10.1</w:t>
      </w:r>
    </w:p>
    <w:p>
      <w:r>
        <w:t>Lorsque le cas d’assurance, constitué par une incapacité de travail, est établi, l’art. 61 aLCA (qui correspond à l’art. 38a LCA depuis le 1er janvier 2022) dispose que l’ayant droit est obligé, lors d’un sinistre, de faire tout ce qui est possible pour restreindre le dommage (al. 1) ; si l’ayant droit contrevient à cette obligation d’une manière inexcusable, l’assureur peut réduire l’indemnité au montant auquel elle serait ramenée si l’obligation avait été remplie (al. 2).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En règle générale, un délai de trois à cinq mois doit être considéré comme adéquat (ATF 133 III 527 consid. 3.2.1 ; arrêt du Tribunal fédéral 4A_228/2019 du 2 septembre 2019 consid. 2.3.1 et les références). En général, d’autres activités deviennent pertinentes dès que la nature et l’évolution de l’atteinte à la santé montrent clairement qu’un retour à l’activité antérieure ne sera plus possible (cf. les arrêts du Tribunal fédéral 9C_74/2007 du 19 octobre 2007 consid. 3.2 et K 224/05 du 29 mars 2007 consid. 3.2). La règle selon laquelle, en cas d’incapacité de travail de longue durée, l’activité que l’on peut raisonnablement attendre de l’assuré dans une autre profession est également prise en compte, doit bien sûr être comprise par analogie en cas d’incapacité de travail liée au poste de travail, c’est-à-dire en se référant simplement à un autre poste de travail – et non à une autre profession (arrêt du Tribunal fédéral 9C_177/2022 du 18 août 2022 consid. 6.3).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w:t>
      </w:r>
    </w:p>
    <w:p>
      <w:r>
        <w:t>A/162/2023 - 21/24 -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être réellement exigé de lui (ATF 133 III 527 consid. 3.2.1). La réduction de l’indemnité est en outre exclue s’il n’est en réalité pas possible de limiter le préjudice par un changement d’activité professionnelle. Il faut donc qu’il soit démontré que cette nouvelle activité permettrait effectivement à l’assuré de réaliser un revenu supérieur à celui qu’il peut encore obtenir en conservant son emploi (arrêt du Tribunal fédéral 4A_529/2012 du 31 janvier 2013 consid. 2.4). Conformément à l’art. 8 CC,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et les références). L’assureur doit alléguer les faits propres à démontrer cette violation du devoir de réduire le dommage (arrêt du Tribunal fédéral 4A_584/2014 précité, consid. 4.1).</w:t>
      </w:r>
    </w:p>
    <w:p>
      <w:r>
        <w:rPr>
          <w:b/>
        </w:rPr>
        <w:t>E. 10.2</w:t>
      </w:r>
    </w:p>
    <w:p>
      <w:r>
        <w:t>En l’espèce, il sied de relever en premier lieu que si tant est que l’invitation adressée le 22 mars 2022 à Assista TCS SA – à conseiller à sa mandante de mettre en valeur sa capacité de travail et, le cas échéant, à s’inscrire au chômage dans les meilleurs délais – constitue une invitation suffisamment claire à changer de profession ou d’employeur –, ce courrier ne respecte de toute manière pas le délai de trois à cinq mois évoqué pour une reprise d’activité au 1er juin 2022 (cf. ci- dessus : consid. 10.1). On précisera par ailleurs que le point de départ de ce délai ne se détermine pas en fonction de la date d’exigibilité de l’exercice d’une activité adaptée, mais du courrier de l’assureur invitant l’assuré à changer de profession (arrêt du Tribunal fédéral 4A_384/2019 du 9 décembre 2019 consid. 5.4.2). Il s’ensuit qu’il importe peu que le rapport d’examen bi-disciplinaire du 24 mars 2023 conclue à l’exigibilité de l’exercice d’une activité adaptée à 70% depuis le 8 février 2021. En second lieu, le courrier du 22 mars 2022 a été adressé au mandataire de la demanderesse suite à un simple pronostic du 17 mars 2022 du Dr F______ prévoyant le recouvrement d’une capacité de travail pleine et entière le 1er juin 2022 auprès d’un autre employeur. Compte tenu toutefois du caractère « médico-théorique » de cette appréciation – qualificatif employé (à juste titre) par le Dr F______ lui-même en p. 25 de son rapport – et du fait qu’à cette époque-là, l’instruction médicale du cas suivait toujours son cours, notamment dans le dossier AI, une invitation adressée à la demanderesse à mettre en valeur sa capacité de travail au plus tard le 1er juin 2022, dès réception du courrier du 22 mars 2022, apparaissait de toute manière prématurée, notamment au regard de l’art. D1 CGA précité. En effet, d’autres activités ne deviennent pertinentes qu’à partir du moment où la nature et l’évolution de l’atteinte à la santé montrent</w:t>
      </w:r>
    </w:p>
    <w:p>
      <w:r>
        <w:t>A/162/2023 - 22/24 - clairement qu’un retour à l’activité antérieure ne sera plus possible (cf. ci-dessus : consid. 10.1). En l’espèce, cette absence de retour possible à l’activité antérieure de concierge (y compris auprès d’un autre employeur) n’est devenue claire, d’un point de vue médical, qu’à partir du rapport d’examen bi-disciplinaire du 24 mars 2023. En conséquence, la défenderesse n’était pas fondée à réduire – et encore moins à supprimer – les indemnités journalières à compter du 1er juin 2022. Enfin, la question de savoir s’il était exigible de la part de la demanderesse qu’elle réduise le dommage découlant de son incapacité de travail, une fois connues les conclusions du rapport d’examen bi-disciplinaire du 24 mars 2023, peut rester indécise. Les développements qui suivent montrent en effet que le droit aux indemnités journalières était déjà épuisé à cette date.</w:t>
      </w:r>
    </w:p>
    <w:p>
      <w:r>
        <w:rPr>
          <w:b/>
        </w:rPr>
        <w:t>E. 11</w:t>
      </w:r>
    </w:p>
    <w:p>
      <w:r>
        <w:t>Reste à déterminer le solde des indemnités journalières dues à la demanderesse. En l’occurrence, il est constant que la durée maximale d’indemnisation est de 730 jours et que la demanderesse a reçu des indemnités journalières à 100% du 22 février 2021 au 31 mai 2022, ce qui représente 464 jours. Leur montant (CHF 52.80 par jour) n’est pas contesté. Compte tenu de la déduction du délai d’attente de quatorze jours, la durée d’indemnisation effective s’élève au plus à 716 jours. En déduisant de ce total, les 464 indemnités déjà perçues, il en reste en principe 252 à verser à 100% pour la période du 1er juin 2022 au 7 février 2023. Étant donné que la demanderesse n’en réclame que 247, selon ses conclusions du</w:t>
      </w:r>
    </w:p>
    <w:p>
      <w:r>
        <w:rPr>
          <w:b/>
        </w:rPr>
        <w:t>E. 16</w:t>
      </w:r>
    </w:p>
    <w:p>
      <w:r>
        <w:t>janvier 2023, amplifiées le 7 juin 2023, et que la chambre de céans ne saurait statuer ultra petita (cf. art. 58 CPC), la défenderesse sera condamnée à payer CHF 13’041.60 à la demanderesse (soit 247 x CHF 52.80). 12. La demanderesse réclame enfin des intérêts moratoires sur les indemnités journalières qui lui sont dues. 12.1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Il peut cependant être fait abstraction d’un chiffrage</w:t>
      </w:r>
    </w:p>
    <w:p>
      <w:r>
        <w:t>A/162/2023 - 23/24 - lorsque le montant exact de la créance n’est pas encore déterminé au moment de son exigibilité. Cette dernière opinion repose sur l’idée que toute obligation exigible doit pouvoir faire l’objet d’une mise en demeure afin de permettre au créancier de bénéficier des effets qui sont rattachés à la demeure (cf. ATF 129 III 535 consid. 3.2.2).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12.2 En l’espèce, en l’absence d’interpellation préalable, la défenderesse ne s’est trouvée en demeure qu’avec la notification de la demande en justice. En partant du principe que cet acte a été reçu le lendemain de sa transmission par la chambre de céans, soit le 19 janvier 2023, l’intérêt moratoire de 5% est dû dès le 20 janvier 2023 sur la somme de CHF 13’041.60. 13. 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 LaCC – E 1 05).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À Genève, le règlement fixant le tarif des frais en matière civile du 22 décembre 2010 (RTFMC – E 1 05.10) détermine notamment le tarif des dépens, applicable aux affaires civiles contentieuses (art. 1 RTFMC). Conformément à l’art. 85 RTFMC, le défraiement, dans le cas d’une partie qui obtient totalement gain de cause, pour une valeur litigieuse de CHF 13’041.60, s’élève à CHF 2’856.24 (soit CHF 2’400.- + CHF 456.24, ce dernier montant correspondant à 15% de la valeur litigieuse dépassant CHF 10’000.-), qu’il y a lieu, en l’espèce, d’arrondir à CHF 2’857.-. Étant donné que la demanderesse obtient entièrement gain de cause, la défenderesse sera condamnée à lui verser une indemnité de CHF 2’857.- à titre de dépens. S’y ajoutent la TVA pour un montant de CHF 219.99 (7.7%), et les débours à hauteur de CHF 85.71 (3%), portant ainsi le montant total dû à CHF 3’162.70.- (art. 25 et 26 al. 1 LaCC ; art. 84 et 85 RTFMC). Pour le surplus, la procédure est gratuite (art. 114 let. e CPC). ***** PAR CES MOTIFS, LA CHAMBRE DES ASSURANCES SOCIALES :</w:t>
      </w:r>
    </w:p>
    <w:p>
      <w:r>
        <w:t>A/162/2023 - 24/24 -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