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ATAS/1016/2020 vom 28. Oktober 2020</w:t>
      </w:r>
    </w:p>
    <w:p>
      <w:r>
        <w:t>GE Cour de justice, 2020-10-28, FR</w:t>
      </w:r>
    </w:p>
    <w:p>
      <w:r>
        <w:rPr>
          <w:b/>
        </w:rPr>
        <w:t xml:space="preserve">Quelle: </w:t>
      </w:r>
      <w:r>
        <w:t>https://mcp.opencaselaw.ch/entscheid/ge_gerichte_ATAS_1016_2020</w:t>
      </w:r>
    </w:p>
    <w:p>
      <w:r>
        <w:t>FR: GE_GERICHTE ATAS/1016/2020 du 28 octobre 2020</w:t>
      </w:r>
    </w:p>
    <w:p>
      <w:r>
        <w:t>IT: GE_GERICHTE ATAS/1016/2020 del 28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A/412/2019 - 21/32 -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56ss LPGA et 62ss LPA).</w:t>
      </w:r>
    </w:p>
    <w:p>
      <w:r>
        <w:rPr>
          <w:b/>
        </w:rPr>
        <w:t>E. 4</w:t>
      </w:r>
    </w:p>
    <w:p>
      <w:r>
        <w:t>Le litige porte sur le point de savoir si l’intimé était fondé à rejeter la nouvelle demande de prestations du recourant, singulièrement si une aggravation de son état de santé s’est produite entre le 22 avril 2010 - date de la première décision lui octroyant une demi-rente d’invalidité dès le 9 avril 2000 - et le 12 décembre 2018, date de la décision litigieuse.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s’est-il aggravé depuis le 22 avril 2010, date de la dernière décision de l’OAI entrée en force, et dans quelle mesure ? 5. Limitations fonctionnelles</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t>A/412/2019 - 22/32 -</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6.1</w:t>
      </w:r>
    </w:p>
    <w:p>
      <w:r>
        <w:t>Est-ce que le tableau clinique est cohérent, compte tenu du ou des diagnostic(s) retenu(s) ou y a-t-il des atypies ?</w:t>
      </w:r>
    </w:p>
    <w:p>
      <w:r>
        <w:rPr>
          <w:b/>
        </w:rPr>
        <w:t>E. 6.2</w:t>
      </w:r>
    </w:p>
    <w:p>
      <w:r>
        <w:t>Est-ce que ce qui est connu de l’évolution, en particulier depuis le 22 avril 2010, correspond à ce qui est attendu pour le ou les diagnostic(s) retenu(s) ?</w:t>
      </w:r>
    </w:p>
    <w:p>
      <w:r>
        <w:rPr>
          <w:b/>
        </w:rPr>
        <w:t>E. 6.3</w:t>
      </w:r>
    </w:p>
    <w:p>
      <w:r>
        <w:t>Est-ce qu’il y a des discordances entre les plaintes et le comportement de la personne expertisée, entre les limitations alléguées et ce qui est connu de ses activités et de sa vie quotidienne ?</w:t>
      </w:r>
    </w:p>
    <w:p>
      <w:r>
        <w:t>A/412/2019 - 31/32 -</w:t>
      </w:r>
    </w:p>
    <w:p>
      <w:r>
        <w:rPr>
          <w:b/>
        </w:rPr>
        <w:t>E. 6.4</w:t>
      </w:r>
    </w:p>
    <w:p>
      <w:r>
        <w:t>Est-ce que la personne expertisée s’est engagée ou s’engage dans les traitements qui sont raisonnablement exigibles et possiblement efficaces dans son cas ou n’a-t-elle que peu ou pas de demande de soins ? 7. Capacité de travail</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A/412/2019 - 23/32 -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7.1</w:t>
      </w:r>
    </w:p>
    <w:p>
      <w:r>
        <w:t>La personne expertisée est-elle capable d’exercer son ancienne activité de carreleur ?</w:t>
      </w:r>
    </w:p>
    <w:p>
      <w:r>
        <w:rPr>
          <w:b/>
        </w:rPr>
        <w:t>E. 7.1.1</w:t>
      </w:r>
    </w:p>
    <w:p>
      <w:r>
        <w:t>Si non, ou seulement partiellement, pourquoi ? Quelles sont les limitations fonctionnelles qui entrent en ligne de compte ?</w:t>
      </w:r>
    </w:p>
    <w:p>
      <w:r>
        <w:rPr>
          <w:b/>
        </w:rPr>
        <w:t>E. 7.1.2</w:t>
      </w:r>
    </w:p>
    <w:p>
      <w:r>
        <w:t>Depuis quelle date sa capacité de travail est-elle réduite/nulle ?</w:t>
      </w:r>
    </w:p>
    <w:p>
      <w:r>
        <w:rPr>
          <w:b/>
        </w:rPr>
        <w:t>E. 7.1.3</w:t>
      </w:r>
    </w:p>
    <w:p>
      <w:r>
        <w:t>Veuillez préciser si dans l’ancienne activité de carreleur, le taux d’incapacité de travail et/ou le rendement se sont modifiés depuis le 22 avril 2010, date de la dernière décision de l’OAI entrée en force et dans quelle mesure, en précisant sur quels éléments se fonde votre réponse.</w:t>
      </w:r>
    </w:p>
    <w:p>
      <w:r>
        <w:rPr>
          <w:b/>
        </w:rPr>
        <w:t>E. 7.2</w:t>
      </w:r>
    </w:p>
    <w:p>
      <w:r>
        <w:t>La personne expertisée est-elle capable d’exercer une activité lucrative adaptée à ses limitations fonctionnelles ?</w:t>
      </w:r>
    </w:p>
    <w:p>
      <w:r>
        <w:rPr>
          <w:b/>
        </w:rPr>
        <w:t>E. 7.2.1</w:t>
      </w:r>
    </w:p>
    <w:p>
      <w:r>
        <w:t>Si non ou dans une mesure restreinte, pour quels motifs ? Quelles sont les limitations fonctionnelles qui entrent en ligne de compte ?</w:t>
      </w:r>
    </w:p>
    <w:p>
      <w:r>
        <w:rPr>
          <w:b/>
        </w:rPr>
        <w:t>E. 7.2.2</w:t>
      </w:r>
    </w:p>
    <w:p>
      <w:r>
        <w:t>Si oui, quelle activité lucrative ? À quel taux ? Avec quelle diminution de rendement ? Depuis quelle date ?</w:t>
      </w:r>
    </w:p>
    <w:p>
      <w:r>
        <w:rPr>
          <w:b/>
        </w:rPr>
        <w:t>E. 7.2.3</w:t>
      </w:r>
    </w:p>
    <w:p>
      <w:r>
        <w:t>Veuillez préciser si le taux d’exigibilité de l’exercice d’une activité adaptée et/ou le rendement dans une telle activité se sont modifiés depuis le 22 avril 2010, date de la dernière décision de l’OAI entrée en force et dans quelle mesure, en précisant sur quels éléments se fonde votre réponse.</w:t>
      </w:r>
    </w:p>
    <w:p>
      <w:r>
        <w:rPr>
          <w:b/>
        </w:rPr>
        <w:t>E. 7.3</w:t>
      </w:r>
    </w:p>
    <w:p>
      <w:r>
        <w:t>Des mesures médicales sont-elles nécessaires préalablement à la reprise d’une activité lucrative ? Si oui lesquelles ? 8. Traitement</w:t>
      </w:r>
    </w:p>
    <w:p>
      <w:r>
        <w:rPr>
          <w:b/>
        </w:rPr>
        <w:t>E. 8</w:t>
      </w:r>
    </w:p>
    <w:p>
      <w:r>
        <w:t>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w:t>
      </w:r>
    </w:p>
    <w:p>
      <w:r>
        <w:t>A/412/2019 - 24/32 -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A/412/2019 - 25/32 - ainsi que l'allégation de lourds handicaps malgré un environnement psychosocial intact (ATF 131 V 49 consid. 1.2).</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Quelle est la compliance de la personne expertisée au traitement médical et médicamenteux ? Confirmer la compliance médicamenteuse avec un dosage sanguin. 9. Appréciation d’avis médicaux du dossier</w:t>
      </w:r>
    </w:p>
    <w:p>
      <w:r>
        <w:t>A/412/2019 - 32/32 -</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w:t>
      </w:r>
    </w:p>
    <w:p>
      <w:r>
        <w:t>A/412/2019 - 26/32 -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Êtes-vous d’accord avec le rapport d’expertise du Dr N______ (volet rhumatologique du 26 juillet 2018) ? En particulier avec les diagnostics posés et l’estimation d’une capacité de travail nulle dans l’activité de carreleur et de 70% dans toute activité adaptée ? Si non pourquoi ?</w:t>
      </w:r>
    </w:p>
    <w:p>
      <w:r>
        <w:rPr>
          <w:b/>
        </w:rPr>
        <w:t>E. 9.2</w:t>
      </w:r>
    </w:p>
    <w:p>
      <w:r>
        <w:t>Êtes-vous d’accord avec les avis des médecins traitants (Drs C______, R______ et S______) ? En particulier avec les diagnostics posés, les limitations fonctionnelles constatées et l’estimation d’une capacité de travail inférieure à celle retenue par le Dr N______ ? Si non, pourquoi ?</w:t>
      </w:r>
    </w:p>
    <w:p>
      <w:r>
        <w:rPr>
          <w:b/>
        </w:rPr>
        <w:t>E. 9.3</w:t>
      </w:r>
    </w:p>
    <w:p>
      <w:r>
        <w:t>S’agissant en particulier des observations du 6 novembre 2019 du Prof. S______, êtes-vous d’accord avec les aggravations (apparition de nouveaux troubles et/ou aggravation de troubles préexistants) qu’il décrit par rapport à 2009-2010 et à la suite de l’accident de 2014 ? Si non, pourquoi ? 10. Quel est le pronostic ? 11. Des mesures de réadaptation professionnelles sont-elles envisageables ?</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A/412/2019 - 27/32 -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11</w:t>
      </w:r>
    </w:p>
    <w:p>
      <w:r>
        <w:t>En l'espèce, il convient de comparer la situation telle qu’elle se présentait lors de la décision du 22 avril 2010 avec celle existant au moment de la décision du</w:t>
      </w:r>
    </w:p>
    <w:p>
      <w:r>
        <w:rPr>
          <w:b/>
        </w:rPr>
        <w:t>E. 12</w:t>
      </w:r>
    </w:p>
    <w:p>
      <w:r>
        <w:t>Faire toutes autre observations ou suggestions utiles. II. Réserve le sort des frais jusqu’à droit jugé au fond.</w:t>
      </w:r>
    </w:p>
    <w:p>
      <w:r>
        <w:t>La greffière Marie-Catherine SECHAUD</w:t>
      </w:r>
    </w:p>
    <w:p>
      <w:r>
        <w:t>La présidente 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