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ATAS/1016/2007 vom 18. September 2007</w:t>
      </w:r>
    </w:p>
    <w:p>
      <w:r>
        <w:t>GE Cour de justice, 2007-09-18, FR</w:t>
      </w:r>
    </w:p>
    <w:p>
      <w:r>
        <w:rPr>
          <w:b/>
        </w:rPr>
        <w:t xml:space="preserve">Quelle: </w:t>
      </w:r>
      <w:r>
        <w:t>https://mcp.opencaselaw.ch/entscheid/ge_gerichte_ATAS_1016_2007</w:t>
      </w:r>
    </w:p>
    <w:p>
      <w:r>
        <w:t>FR: GE_GERICHTE ATAS/1016/2007 du 18 septembre 2007</w:t>
      </w:r>
    </w:p>
    <w:p>
      <w:r>
        <w:t>IT: GE_GERICHTE ATAS/1016/2007 del 18 settembre 2007</w:t>
      </w:r>
    </w:p>
    <w:p>
      <w:pPr>
        <w:pStyle w:val="Heading2"/>
      </w:pPr>
      <w:r>
        <w:t>Erwägungen</w:t>
      </w:r>
    </w:p>
    <w:p>
      <w:r>
        <w:rPr>
          <w:b/>
        </w:rPr>
        <w:t>E. 12</w:t>
      </w:r>
    </w:p>
    <w:p>
      <w:r>
        <w:t>L'assuré souligne que ses médecins traitants ne partagent pas l'avis du Prof. E__________. Force est toutefois de constater que le Dr B__________ est d'accord avec l'expert pour dire qu'une activité adaptée serait envisageable, et que la hernie discale n'est pas de nature à influencer la capacité de travail. Il y a au surplus lieu de relever d'une part que tant le Dr B__________ que le Prof. E__________ sont respectivement médecins spécialistes en neurochirurgie et en rhumatologie et d'autre part que selon la jurisprudence du TFA, le médecin traitant ayant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p. 109 consid. 3b/bb). Pour ce qui concerne les rapports émanant des médecins traitants, le juge peut et doit tenir compte du fait relevant de l’expérience que, de par sa position de confident privilégié que lui confère son mandat, le</w:t>
      </w:r>
    </w:p>
    <w:p>
      <w:r>
        <w:t>A/4649/2006 - 10/14 - médecin traitant tranchera dans le doute en faveur de son patient (ATF 124 I 175 consid. 4 et les références citées ; Plädoyer 6/94 p. 67).</w:t>
      </w:r>
    </w:p>
    <w:p>
      <w:r>
        <w:rPr>
          <w:b/>
        </w:rPr>
        <w:t>E. 13</w:t>
      </w:r>
    </w:p>
    <w:p>
      <w:r>
        <w:t>Le Dr G__________ a envisagé la présence de trouble somatoforme douloureux. Le Dr A__________ a quant à lui déclaré qu'il ignorait ce terme.</w:t>
      </w:r>
    </w:p>
    <w:p>
      <w:r>
        <w:t>Il y a ainsi lieu de constater que le diagnostic de trouble somatoforme douloureux n'a pas été clairement posé. Quoi qu'il en soit les conditions dont la réalisation est exigée par la jurisprudence pour reconnaître qu'un tel trouble soit invalidant ne sont pas réunies. Le Dr G__________ a diagnostiqué un état dépressif d'intensité moyenne, sans symptôme psychotique, état qui s'est amélioré au plus tard en juin 2004. La Dresse I__________, a également retenu un état dépressif moyen, en rémission. Ces épisodes dépressifs ne sauraient dès lors être constitutifs d'une comorbidité psychiatrique au sens de la jurisprudence. Quoi qu'il en soit, le TFA estime que les états dépressifs constituent des manifestations réactives d'accompagnement des troubles somatoformes douleurs, de sorte qu'ils ne sauraient faire l'objet d'un diagnostic séparé (ATF 130 V 356, consid. 3.3.1).</w:t>
      </w:r>
    </w:p>
    <w:p>
      <w:r>
        <w:rPr>
          <w:b/>
        </w:rPr>
        <w:t>E. 14</w:t>
      </w:r>
    </w:p>
    <w:p>
      <w:r>
        <w:t>Se pose dès lors la question du cumul éventuel des autres critères établis par la jurisprudence. Il y a à cet égard lieu d'examiner si l'assuré en réunit plusieurs en sa personne de manière suffisamment marquée, ce qui fonderait un pronostic défavorable en ce qui concerne l'exigibilité d'une reprise d'activité professionnelle. Le critère relatif aux affections corporelles chroniques (1) apparaît comme réalisé, l'assuré souffrant depuis plusieurs années de lombalgies chroniques essentiellement. Il ne subit en revanche pas une perte d’intégration sociale dans toutes les manifestations de la vie (2). Il vit entouré de son épouse et de ses enfants dont il s'occupe. Il y a lieu de constater que selon la Dresse I__________, son état dépressif est en voie de rémission. Aussi ne saurait-on parler ni d'un état psychique cristallisé ni d'échec de traitement (3 et 4). Il apparaît ainsi que l'assuré n'a pas épuisé toutes ses ressources adaptatives. Au vu de ce qui précède, force est de constater que les troubles psychiques en cause ne se manifestent pas avec une telle sévérité que, d'un point de vue objectif, ils excluent toute mise en valeur de sa capacité de travail. Au contraire, il y a lieu d'admettre le caractère exigible d'un effort de volonté de sa part en vue de surmonter la douleur et de se réinsérer dans un processus de travail.</w:t>
      </w:r>
    </w:p>
    <w:p>
      <w:r>
        <w:rPr>
          <w:b/>
        </w:rPr>
        <w:t>E. 15</w:t>
      </w:r>
    </w:p>
    <w:p>
      <w:r>
        <w:t>Reste à déterminer le degré d'invalidité.</w:t>
      </w:r>
    </w:p>
    <w:p>
      <w:r>
        <w:t>A/4649/2006 - 11/14 -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 VSI 2002 p. 70).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d'un assuré et de l’empêchement à effectuer des travaux lourds ou de la nécessité d'alterner les positions assis/debout (ATFA non publié du 30 novembre 2001 I 422/01).</w:t>
      </w:r>
    </w:p>
    <w:p>
      <w:r>
        <w:t>A/4649/2006 - 12/14 -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TFA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tant qu'il représente un salaire social, le gain effectivement réalisé ne peut donc être considéré comme le salaire d'invalide. Il y a lieu par conséquent de se référer aux statistiques salariales.</w:t>
      </w:r>
    </w:p>
    <w:p>
      <w:r>
        <w:rPr>
          <w:b/>
        </w:rPr>
        <w:t>E. 16</w:t>
      </w:r>
    </w:p>
    <w:p>
      <w:r>
        <w:t>En l'espèce, l'assuré ne met pas en cause les chiffres retenus par l'OCAI pour le calcul de sa perte de gain, lesquels sont au demeurant conformes aux dispositions légales et à la jurisprudence applicables en la matière, hormis la réduction des salaires statistiques qui devrait, selon son appréciation, s'élever au taux maximum de 15%. L'OCAI a retenu un taux d'abattement de 10%, contrairement à ce que soutient l'assuré selon lequel aucune réduction n'aurait été prise en considération.</w:t>
      </w:r>
    </w:p>
    <w:p>
      <w:r>
        <w:t>A/4649/2006 - 13/14 -</w:t>
      </w:r>
    </w:p>
    <w:p>
      <w:r>
        <w:rPr>
          <w:b/>
        </w:rPr>
        <w:t>E. 17</w:t>
      </w:r>
    </w:p>
    <w:p>
      <w:r>
        <w:t>S'agissant de la situation personnelle et professionnelle du recourant, le Tribunal de céans constate qu'il est en Suisse depuis 1987, au bénéfice d'un permis d'établissement et était âgé de 38 ans au moment de la décision sur opposition. Il était employé depuis 2003 au sein de la X__________ et peut exercer une activité à 90%. Ainsi, les critères de limitations liés au taux d'occupation et aux années de service ne sont pas remplis, de sorte que la déduction de 10% au plus, retenue par l'OCAI apparaît justifiée. Il n'y a pas lieu de retenir un pourcentage plus élevé. Partant le degré d'invalidité de 17% ne peut être que confirmé.</w:t>
      </w:r>
    </w:p>
    <w:p>
      <w:r>
        <w:rPr>
          <w:b/>
        </w:rPr>
        <w:t>E. 18</w:t>
      </w:r>
    </w:p>
    <w:p>
      <w:r>
        <w:t>Aussi le recours doit-il être rejeté.</w:t>
      </w:r>
    </w:p>
    <w:p>
      <w:r>
        <w:rPr>
          <w:b/>
        </w:rPr>
        <w:t>E. 19</w:t>
      </w:r>
    </w:p>
    <w:p>
      <w:r>
        <w:t>Il reste à examiner son droit à une aide au placement. Le juge des assurances sociales doit prendre en considération les modifications du droit jusqu'à la date déterminante de la décision litigieuse - en l'espèce, la décision sur opposition du 7 novembre 2006 - (ATF 129 V 4 consid. 1.2 et les références). Or, l'art. 18 al. 1 LAI a été modifié lors de la 4ème révision de la LAI, entrée en vigueur le 1er janvier 2004. Aux termes du nouvel art. 18 al. 1 LAI, les assurés invalides qui sont susceptibles d'être réadaptés ont notamment droit à un soutien actif dans la recherche d'un emploi approprié, et, s'ils en ont déjà un, à un conseil suivi afin de le conserver. Cette modification ne figurait pas dans le message du Conseil fédéral mais a été introduite par la Commission du Conseil national. L'idée à l'origine de cette nouvelle formulation était de renforcer le soutien apporté d'office lors de la réadaptation. Il s'agissait en fait d'obliger les offices de l'assurance-invalidité à entreprendre plus de démarches dans ce sens. Le rapporteur de la Commission a relevé lors du plenum du Conseil national que la Commission avait décidé à l'unanimité de renforcer les droits des assurés à un soutien actif lors de la recherche d'un emploi (BO CN 2001, p. 1934; cf. également ATFA non publié du 29 mars 2005, I 776/04). La nouvelle teneur de l'art. 18 al. 1 LAI a été adoptée par le Conseil national - suite au retrait d'une proposition plus contraignante encore pour les offices AI - sans discussion (BO CN 2001, p. 1935). Lors du plenum du Conseil des États, la rapporteure de la Commission a recommandé d'adopter la proposition - ce qui a été le cas sans discussion - notamment en raison du fait que cette nouvelle disposition constituait une base juridique contraignante pour l'activité de placement des offices AI (BO CE 2002 p. 756). L'art. 18 al. 1 LAI, en vigueur depuis le 1er janvier 2004, a donc étendu les droits des assurés à l'égard des offices AI en matière d'aide au placement (cf. ATFA du 22 septembre 2005 I 54/05). Une aide au placement devra dès lors être accordée à l'assuré, pour autant qu'il en fasse la demande par écrit.</w:t>
      </w:r>
    </w:p>
    <w:p>
      <w:r>
        <w:t>A/4649/2006 - 14/14 -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