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ATAS/1015/2017 vom 9. November 2017</w:t>
      </w:r>
    </w:p>
    <w:p>
      <w:r>
        <w:t>GE Cour de justice, 2017-11-09, FR</w:t>
      </w:r>
    </w:p>
    <w:p>
      <w:r>
        <w:rPr>
          <w:b/>
        </w:rPr>
        <w:t xml:space="preserve">Quelle: </w:t>
      </w:r>
      <w:r>
        <w:t>https://mcp.opencaselaw.ch/entscheid/ge_gerichte_ATAS_1015_2017</w:t>
      </w:r>
    </w:p>
    <w:p>
      <w:r>
        <w:t>FR: GE_GERICHTE ATAS/1015/2017 du 9 novembre 2017</w:t>
      </w:r>
    </w:p>
    <w:p>
      <w:r>
        <w:t>IT: GE_GERICHTE ATAS/1015/2017 del 9 novembre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dont est litige est régi par la LCA. La compétence de la Cour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La défenderesse ayant son domicile à Genève, la Cour de céans est également compétente à raison du lieu.</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w:t>
      </w:r>
    </w:p>
    <w:p>
      <w:r>
        <w:t>A/3293/2017 - 4/5 -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w:t>
      </w:r>
    </w:p>
    <w:p>
      <w:r>
        <w:rPr>
          <w:b/>
        </w:rPr>
        <w:t>E. 5</w:t>
      </w:r>
    </w:p>
    <w:p>
      <w:r>
        <w:t>En l’espèce, la défenderesse ne conteste pas devoir les montants réclamés par la demanderesse. Au contraire, elle a même accepté de signer une reconnaissance de dette en ce sens, qu’il convient d’entériner. Pour le surplus, il n'est pas alloué de dépens (art. 22 al. 3 let. b de la loi d'application du code civil suisse et d’autres lois fédérales en matière civile du 11 octobre 2012 [LaCC - E 1 05] ni perçu de frais judiciaires (art. 114 let. e CPC). La procédure est gratuite (art. 114 let. e CPC).</w:t>
      </w:r>
    </w:p>
    <w:p>
      <w:r>
        <w:t>A/3293/2017 - 5/5 -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