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ATAS/1015/2016 vom 1. Dezember 2016</w:t>
      </w:r>
    </w:p>
    <w:p>
      <w:r>
        <w:t>GE Cour de justice, 2016-12-01, FR</w:t>
      </w:r>
    </w:p>
    <w:p>
      <w:r>
        <w:rPr>
          <w:b/>
        </w:rPr>
        <w:t xml:space="preserve">Quelle: </w:t>
      </w:r>
      <w:r>
        <w:t>https://mcp.opencaselaw.ch/entscheid/ge_gerichte_ATAS_1015_2016</w:t>
      </w:r>
    </w:p>
    <w:p>
      <w:r>
        <w:t>FR: GE_GERICHTE ATAS/1015/2016 du 1 décembre 2016</w:t>
      </w:r>
    </w:p>
    <w:p>
      <w:r>
        <w:t>IT: GE_GERICHTE ATAS/1015/2016 del 1 dicembre 2016</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 vieillesse et survivants (LAVS). Désormais, la responsabilité de l’employeur est réglée de manière plus détaillée qu’auparavant à l’art. 52 LAVS et les art. 81 et 82</w:t>
      </w:r>
    </w:p>
    <w:p>
      <w:r>
        <w:t>A/1334/2015 - 10/16 - du règlement du 31 octobre 1947 sur l’assurance-vieillesse et survivants (RAVS) ont été abrogés.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w:t>
      </w:r>
    </w:p>
    <w:p>
      <w:r>
        <w:rPr>
          <w:b/>
        </w:rPr>
        <w:t>E. 3</w:t>
      </w:r>
    </w:p>
    <w:p>
      <w:r>
        <w:t>Interjeté dans les forme et délai prévus par la loi, les recours sont recevables (cf. art. 56ss LPGA).</w:t>
      </w:r>
    </w:p>
    <w:p>
      <w:r>
        <w:rPr>
          <w:b/>
        </w:rPr>
        <w:t>E. 4</w:t>
      </w:r>
    </w:p>
    <w:p>
      <w:r>
        <w:t>Le litige porte sur l'obligation des recourants, en leur qualité d'administrateurs et d'anciens organes de la société, de verser à l'intimée, à titre de réparation du dommage subi par cette dernière suite au non-paiement des cotisations AVS/AI/APG/AC, la somme de CHF 85'180.55 s’agissant de M. A______, CHF 46'944.35 concernant M. B______.</w:t>
      </w:r>
    </w:p>
    <w:p>
      <w:r>
        <w:rPr>
          <w:b/>
        </w:rPr>
        <w:t>E. 5</w:t>
      </w:r>
    </w:p>
    <w:p>
      <w:r>
        <w:t>Selon l'art. 52 LAVS, l'employeur qui, intentionnellement ou par négligence grave, n'observe pas des prescriptions et cause ainsi un dommage à la caisse de compensation, est tenu à réparation.</w:t>
      </w:r>
    </w:p>
    <w:p>
      <w:r>
        <w:rPr>
          <w:b/>
        </w:rPr>
        <w:t>E. 6</w:t>
      </w:r>
    </w:p>
    <w:p>
      <w:r>
        <w:t>a. Depuis l'entrée en vigueur de la LPGA, le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w:t>
      </w:r>
    </w:p>
    <w:p>
      <w:r>
        <w:t>A/1334/2015 - 11/16 -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Aussi n’y a-t-il plus lieu de préciser dans ces cas-là - comme cela était la règle selon la jurisprudence antérieure (cf. RCC 1990 p. 302ss ; cf. également, plus récemment, l’ATF 128 V 1 consid. 5a = VSI 2002 p. 96) - que la connaissance et la survenance du dommage interviennent en même temps (VSI 2003 p. 435 consid. 2.3). Pour admettre que la caisse de compensation a une connaissance suffisante du dommage, il faut cependant qu'à cette date, elle connaisse déjà l'existence, la nature et les éléments constitutifs essentiels du dommage ainsi que la personne tenue de le réparer (VSI 2002 p. 96 consid. 5a ; VSI 2001 consid. 3c p. 195). Comme la créance en cotisations impayées constitue la base permettant de déterminer l’ampleur du dommage, on admettra que la caisse de compensation aurait connu le dommage à la date de la publication de la suspension de la faillite déjà, uniquement si elle avait été en mesure à cette date de chiffrer le montant de sa créance de cotisations (VSI 2002 p. 96 consid. 5a ; ATF 126 V 445 = VSI 2001 p. 195 consid. 3c et réf. citées). b. En l'espèce, la faillite a été suspendue faute d’actifs en date du 27 juin 2011. Au regard des principes jurisprudentiels qui viennent d'être rappelés, il faut considérer que c'est ce jour-là que la caisse de compensation a eu connaissance de son dommage. En notifiant ses décisions en réparation du dommage le 7 mars 2013, la caisse de compensation a donc respecté le délai de prescription de deux ans instauré par le nouvel art. 52 al. 3 LAVS et a donc agi en temps utile.</w:t>
      </w:r>
    </w:p>
    <w:p>
      <w:r>
        <w:rPr>
          <w:b/>
        </w:rPr>
        <w:t>E. 7</w:t>
      </w:r>
    </w:p>
    <w:p>
      <w:r>
        <w:t>a. Selon l'art. 52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L'art. 52 al. 1 LAVS en vigueur depuis le 1er janvier 2003 reprenant l'ancien art. 52 LAVS quasiment sans modification, les conditions de la responsabilité de l'employeur sont demeurées inchangées (cf. ATF 129 V 13 sv. consid. 3.5). b.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w:t>
      </w:r>
    </w:p>
    <w:p>
      <w:r>
        <w:t>A/1334/2015 - 12/16 -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8</w:t>
      </w:r>
    </w:p>
    <w:p>
      <w:r>
        <w:t>a.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w:t>
      </w:r>
    </w:p>
    <w:p>
      <w:r>
        <w:t>A/1334/2015 - 13/16 -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b. En l'espèce, il ressort de l'extrait du RC que M. A______ a été inscrit en tant qu’administrateur avec signature individuelle de la création à la faillite de la société. Il est ainsi indéniable qu'il avait la qualité d'organe de la société faillie, ce qu'il ne conteste d'ailleurs pas. Il en va de même de M. B______, pour la période du</w:t>
      </w:r>
    </w:p>
    <w:p>
      <w:r>
        <w:rPr>
          <w:b/>
        </w:rPr>
        <w:t>E. 11</w:t>
      </w:r>
    </w:p>
    <w:p>
      <w:r>
        <w:t>On relèvera encore que le seul argument de M. A______, consistant à se prévaloir de la solidarité entre débiteurs, ne lui est d’aucun secours. En effet, en cas de solidarité entre une pluralité de débiteurs, la caisse jouit d'un concours d'actions et le rapport interne entre les coresponsables ne la concerne pas ; si elle ne peut prétendre qu'une seule fois la réparation, chacun des débiteurs répond envers elle de l'intégralité du dommage et il lui est loisible de rechercher tous les débiteurs, quelques-uns ou un seul d'entre eux, à son choix (VSI 1996 consid. 6 p. 308 ; RCC 1983 consid. 3, p. 103s.). Le fait que le créancier peut, à son gré, choisir le débiteur qu'il entend poursuivre est précisément ce qui caractérise la qualité de débiteur solidaire (ATF 119 V 195, consid. 3 ; RCC 83 478 consid. 10). La caisse peut ainsi rechercher tous les débiteurs, quelques-uns ou seulement l’un d’entre eux, à son choix (ATF 119 V 87 consid. 5a ; 112 V 262 consid. 2b)</w:t>
      </w:r>
    </w:p>
    <w:p>
      <w:r>
        <w:rPr>
          <w:b/>
        </w:rPr>
        <w:t>E. 12</w:t>
      </w:r>
    </w:p>
    <w:p>
      <w:r>
        <w:t>Reste à fixer le montant du dommage dont répond M. A______. En l'espèce, le dommage consiste en la perte de la créance de cotisations subie par la caisse en raison de la faillite de la société. Il est toutefois difficile à fixer avec précision, du fait même du défaut de collaboration de M. A______, qui n’a jamais donné suite aux demandes de renseignements concernant la liste exacte des salariés de la société faillie. L’intimée s’est dès lors livrée à une reconstitution de la masse salariale sur la base de différents éléments en sa possession, tels que les indemnités en cas d’insolvabilité. Devrait en découler une rectification du montant réclamé d’environ CHF 36'000.- pour la période de juillet à décembre 2010, mais l’intimée n’a pas jugé bon de communiquer le détail de ses nouveaux calculs et l’ampleur exacte de la rectification à la Cour de céans.</w:t>
      </w:r>
    </w:p>
    <w:p>
      <w:r>
        <w:rPr>
          <w:b/>
        </w:rPr>
        <w:t>E. 13</w:t>
      </w:r>
    </w:p>
    <w:p>
      <w:r>
        <w:t>Eu égard à ce qui précède, le recours de M. B______ est admis et la décision le concernant annulée. Le recours de M. A______ est rejeté en tant qu’il conteste le principe de sa responsabilité mais partiellement admis en ce sens que la cause est renvoyée à l’intimée pour nouvelle décision concernant le montant exact réclamé à M. A______.</w:t>
      </w:r>
    </w:p>
    <w:p>
      <w:r>
        <w:t>A/1334/2015 - 16/16 -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