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ATAS/1014/2024 vom 28. November 2024</w:t>
      </w:r>
    </w:p>
    <w:p>
      <w:r>
        <w:t>GE Cour de justice, 2024-11-28, FR</w:t>
      </w:r>
    </w:p>
    <w:p>
      <w:r>
        <w:rPr>
          <w:b/>
        </w:rPr>
        <w:t xml:space="preserve">Quelle: </w:t>
      </w:r>
      <w:r>
        <w:t>https://mcp.opencaselaw.ch/entscheid/ge_gerichte_ATAS_1014_2024</w:t>
      </w:r>
    </w:p>
    <w:p>
      <w:r>
        <w:t>FR: GE_GERICHTE ATAS/1014/2024 du 28 novembre 2024</w:t>
      </w:r>
    </w:p>
    <w:p>
      <w:r>
        <w:t>IT: GE_GERICHTE ATAS/1014/2024 del 28 novembre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A/2925/2024 - 4/9 -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bien-fondé de la suspension, pour une durée de 37 jours, du versement de l’indemnité au recourant, auquel l’OCE reproche de n’avoir pas donné suite, dans le délai qui lui avait été imparti pour ce faire, à l’assignation de poste du 30 avril 2024.</w:t>
      </w:r>
    </w:p>
    <w:p>
      <w:r>
        <w:rPr>
          <w:b/>
        </w:rPr>
        <w:t>E. 3.1</w:t>
      </w:r>
    </w:p>
    <w:p>
      <w:r>
        <w:t>L'art. 8 LACI énumère les conditions d'octroi de l'indemnité de chômage. L'assuré doit, pour bénéficier de cette prestation prévue par l'art. 7 al. 2 let. a LACI, répondre à un certain nombre de conditions, au nombre desquelles figure celle de satisfaire aux exigences de contrôle.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w:t>
      </w:r>
    </w:p>
    <w:p>
      <w:r>
        <w:rPr>
          <w:b/>
        </w:rPr>
        <w:t>E. 3.2</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w:t>
      </w:r>
    </w:p>
    <w:p>
      <w:r>
        <w:rPr>
          <w:b/>
        </w:rPr>
        <w:t>E. 3.3</w:t>
      </w:r>
    </w:p>
    <w:p>
      <w:r>
        <w:t>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w:t>
      </w:r>
    </w:p>
    <w:p>
      <w:r>
        <w:t>A/2925/2024 - 5/9 -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rPr>
          <w:b/>
        </w:rPr>
        <w:t>E. 3.4</w:t>
      </w:r>
    </w:p>
    <w:p>
      <w:r>
        <w:t>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w:t>
      </w:r>
    </w:p>
    <w:p>
      <w:r>
        <w:t>A/2925/2024 - 6/9 - Il n’est pas nécessaire qu’un assuré ait été renseigné au sujet de son obligation d’accepter un emploi convenable pour qu’une sanction puisse être prononcée en cas de refus d’emploi (Boris RUBIN, op. cit., n. 11 ad art. 16, n. 63 ad art. 30).</w:t>
      </w:r>
    </w:p>
    <w:p>
      <w:r>
        <w:rPr>
          <w:b/>
        </w:rPr>
        <w:t>E. 3.5</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4</w:t>
      </w:r>
    </w:p>
    <w:p>
      <w:r>
        <w:t>En l’espèce, le recourant ne conteste pas avoir omis de postuler à l’emploi qui lui avait été assigné. Il explique cependant qu’il s’agit d’un malentendu dû à son absence de maîtrise de la langue française et des outils informatiques. Il pensait sincèrement que sa nouvelle conseillère avait fait le nécessaire pour lui, comme l’avait fait celle qui l’avait précédée pour les assignations antérieures. Qui plus est, il traversait alors une période difficile sur le plan émotionnel, ce qui avait sans doute affecté ses capacités d’attention et de compréhension.</w:t>
      </w:r>
    </w:p>
    <w:p>
      <w:r>
        <w:t>A/2925/2024 - 7/9 - Dès lors, il est établi que le recourant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du recourant en application de l’art. 30 al. 1 let. c et/ou d LACI. Reste à en vérifier la quotité.</w:t>
      </w:r>
    </w:p>
    <w:p>
      <w:r>
        <w:rPr>
          <w:b/>
        </w:rPr>
        <w:t>E. 5</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w:t>
      </w:r>
    </w:p>
    <w:p>
      <w:r>
        <w:t>A/2925/2024 - 8/9 - consid. 5a). L’égalité de traitement que des normes telles que l’art. 45 al. 4 OACI ou, à titre de directives administratives, les barèmes établis par le SECO visent à garantir, ne doit pas se réduire à de l’égalitarisme. En l’espèce, dans l’appréciation de la gravité de sa faute, il y a lieu de tenir compte de l'ensemble des circonstances et des différents éléments recueillis lors de l'instruction. En l’occurrence, la Cour de céans a pu constater par elle-même, lors de l’audition du recourant, les difficultés linguistiques de ce dernier. Il est vrai que l’OCE met à disposition des assurés dans cette situation une mesure intitulée « No limit », afin de les accompagner dans leurs démarches. Cela étant, l’allégation du recourant, selon laquelle il pensait de bonne foi, après discussion avec sa conseillère, que celle-ci se chargerait d’envoyer son dossier pour lui n’apparaît pas dénuée de vraisemblance au vu des explications de l’intéressé. De manière générale, attendre d’assurés ayant toujours exercé des activités purement manuelles, confrontés à des difficultés linguistiques aussi importantes que celles du recourant et, qui plus est, mal à l’aise avec les outils informatiques, qu’ils se comportent comme des assurés n’ayant pas à affronter tous ces obstacles, paraît problématique. Si l’informatisation croissante facilite certes la tâche à la majorité des administrations et administrés, il importe que ceux qui, parmi ces derniers, ne maîtrisent pas de tels outils ne soient pas défavorisés. Manifestement, la précédente conseillère du recourant en avait conscience, puisqu’elle avait pris la peine de l’accompagner personnellement dans ses différentes démarches. On peut regretter que la suivante n’ait pas pris la mesure de l’ampleur des difficultés du recourant et n’ait pas fait de même. En outre, on relèvera que, depuis son inscription au chômage, début 2023, aucun autre manquement ne peut être reproché au recourant. En effet, la seule sanction dont il a fait l’objet précédemment concerne des faits antérieurs à son annonce au chômage (recherches insuffisantes avant celui-ci). Dans ces conditions et au vu de l’ensemble des éléments, de l’évidente bonne foi du recourant, de ses difficultés à maîtriser la langue et les outils informatiques et de l’obligation de postuler à un emploi manuel par ce biais, mais aussi du fait que le poste assigné était de durée déterminée et n’aurait pu permettre de réduire durablement le dommage de l’assurance-chômage, la Cour de céans considère que la gravité de la faute commise est atténuée, qu’elle peut être qualifiée de moyenne et que la quotité de la suspension doit être ramenée à 20 jours. Le recours est partiellement admis et la décision réformée dans le sens précité. La procédure est gratuite (art. 61 let. a LPGA).</w:t>
      </w:r>
    </w:p>
    <w:p>
      <w:r>
        <w:t>***</w:t>
      </w:r>
    </w:p>
    <w:p>
      <w:r>
        <w:t>A/2925/2024 - 9/9 -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