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ATAS/1014/2023 vom 19. Dezember 2023</w:t>
      </w:r>
    </w:p>
    <w:p>
      <w:r>
        <w:t>GE Cour de justice, 2023-12-19, FR</w:t>
      </w:r>
    </w:p>
    <w:p>
      <w:r>
        <w:rPr>
          <w:b/>
        </w:rPr>
        <w:t xml:space="preserve">Quelle: </w:t>
      </w:r>
      <w:r>
        <w:t>https://mcp.opencaselaw.ch/entscheid/ge_gerichte_ATAS_1014_2023</w:t>
      </w:r>
    </w:p>
    <w:p>
      <w:r>
        <w:t>FR: GE_GERICHTE ATAS/1014/2023 du 19 décembre 2023</w:t>
      </w:r>
    </w:p>
    <w:p>
      <w:r>
        <w:t>IT: GE_GERICHTE ATAS/1014/2023 del 19 dicembre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4</w:t>
      </w:r>
    </w:p>
    <w:p>
      <w:r>
        <w:t>Le 1er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w:t>
      </w:r>
    </w:p>
    <w:p>
      <w:r>
        <w:t>A/564/2023 - 9/17 - Si un droit à la rente a pris naissance jusqu’au 31 décembre 2021, un éventuel passage au nouveau système de rentes linéaire s'effectue, selon l'âge du bénéficiaire de rente, conformément aux let. b et c des dispositions transitoires de la LAI relatives à la modification du 19 juin 2020. Selon la let. b al. 1, les bénéficiaires de rente dont le droit à la rente a pris naissance avant l'entrée en vigueur de cette modification et qui, à l'entrée en vigueur de la modification, ont certes 30 ans révolus, mais pas encore 55 ans, conservent la quotité de la rente tant que leur taux d'invalidité ne subit pas de modification au sens de l'art. 17 al. 1 LPGA (cf. arrêt du Tribunal fédéral 9C _499/2022 du 29 juin 2023 consid. 4.1). En l’occurrence, la décision querellée a certes été rendue postérieurement au 1er janvier 2022. Toutefois, le litige porte sur la quotité de la rente d’invalidité, dont il n’est pas contesté que le droit est né antérieurement à cette date, de sorte que les dispositions légales applicables seront citées dans leur teneur en vigueur jusqu’au 31 décembre 2021. En outre, dans la mesure où la recourante avait, au 1er janvier 2022, 30 ans révolus mais moins de 55 ans, la quotité de sa rente subsistera tant que son taux d’invalidité ne subit pas de modification au sens de l’art. 17 al. 1 LPGA.</w:t>
      </w:r>
    </w:p>
    <w:p>
      <w:r>
        <w:rPr>
          <w:b/>
        </w:rPr>
        <w:t>E. 5</w:t>
      </w:r>
    </w:p>
    <w:p>
      <w:r>
        <w:t>Le délai de recours est de trente jours (art. 56 LPGA ; art. 62 al. 1 de la de loi sur la procédure administrative du 12 septembre 1985 [LPA - E 5 10]). Interjeté dans la forme et le délai prévus par la loi, le recours est recevable.</w:t>
      </w:r>
    </w:p>
    <w:p>
      <w:r>
        <w:rPr>
          <w:b/>
        </w:rPr>
        <w:t>E. 6</w:t>
      </w:r>
    </w:p>
    <w:p>
      <w:r>
        <w:t>Le litige porte sur la quotité de la rente d'invalidité en faveur de la recourante, singulièrement sur sa capacité de travail dans une activité adaptée, étant précisé que la date de survenance de l'invalidité, le mode de calcul du taux d'invalidité (comparaison des revenus) et l'octroi minimal d'une demi-rente ne sont pas contestés.</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8</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w:t>
      </w:r>
    </w:p>
    <w:p>
      <w:r>
        <w:t>A/564/2023 - 10/17 -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9</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10</w:t>
      </w:r>
    </w:p>
    <w:p>
      <w:r>
        <w:t>Aux termes de l’art. 88a al. 2 RAI,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w:t>
      </w:r>
    </w:p>
    <w:p>
      <w:r>
        <w:rPr>
          <w:b/>
        </w:rPr>
        <w:t>E. 11.1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w:t>
      </w:r>
    </w:p>
    <w:p>
      <w:r>
        <w:t>A/564/2023 - 11/17 -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a posé des lignes directrices en ce qui concerne la manière d'apprécier certains types d'expertises ou de rapports médicaux.</w:t>
      </w:r>
    </w:p>
    <w:p>
      <w:r>
        <w:rPr>
          <w:b/>
        </w:rPr>
        <w:t>E. 11.2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w:t>
      </w:r>
    </w:p>
    <w:p>
      <w:r>
        <w:rPr>
          <w:b/>
        </w:rPr>
        <w:t>E. 11.3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w:t>
      </w:r>
    </w:p>
    <w:p>
      <w:r>
        <w:t>A/564/2023 - 12/17 -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13</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14.1</w:t>
      </w:r>
    </w:p>
    <w:p>
      <w:r>
        <w:t>En l'espèce, l'intimé a jugé que la recourante disposait d'une capacité de travail de 50% dans une activité adaptée, en se fondant sur l'avis du SMR du 13 janvier 2022 qui se référait à l'appréciation du Dr C______ sur ce point, étant relevé que les rapports de la Dre D______ ne se prononçaient pas sur cette question. Dans ses rapports des 11 décembre 2020 et 27 avril 2021, le neurologue traitant a en effet évalué que la recourante était apte à travailler à 50% dans une activité adaptée légère, de sorte qu'il ne peut être fait grief au SMR – et à l'intimé dans son projet de décision du 31 mars 2022 – d'avoir confirmé ce taux. Néanmoins, la chambre de céans constate que l'intimé n'a procédé à aucune mesure d'instruction complémentaire après avoir reçu les rapports du Dr C______ du 19 mai 2022 et de la Dre D______ du 25 mai 2022, lesquels indiquaient tous deux que la recourante était désormais totalement incapable de travailler dans</w:t>
      </w:r>
    </w:p>
    <w:p>
      <w:r>
        <w:t>A/564/2023 - 13/17 - toute activité. Ce n'est finalement que dans le cadre de la procédure de recours, après la notification de la décision litigieuse, que le SMR s'est prononcé sur les rapports précités et a jugé, par avis du 31 mars 2023, que ceux-ci ne modifiaient pas l'appréciation du cas. Certes, les derniers rapports des médecins traitants n'ont été versés au dossier qu'après l'échéance du délai de 30 jours pour formuler des observations à la suite du projet de décision du 31 mars 2022, au sens de l'art. 57a al. 3 LAI. Néanmoins, lorsque, à l’expiration du délai de 30 jours mais avant que la décision ne soit rendue, l’assuré apporte de nouveaux éléments pouvant influer sur la décision, ceux-ci doivent être pris en compte (circulaire sur la procédure dans l'assurance- invalidité [CPAI], état au 1er janvier 2022, ch. 6021). Une telle manière de procéder est par ailleurs conforme à la maxime inquisitoire applicable en matière d'assurances sociales, qui prescrit que l'assureur prend d'office les mesures d'instruction nécessaires et recueille les renseignements dont il a besoin (art. 43 LPGA).</w:t>
      </w:r>
    </w:p>
    <w:p>
      <w:r>
        <w:rPr>
          <w:b/>
        </w:rPr>
        <w:t>E. 14.2</w:t>
      </w:r>
    </w:p>
    <w:p>
      <w:r>
        <w:t>Il sied donc d'examiner si l'avis du SMR du 31 mars 2023 se prononçant sur les nouveaux rapports des médecins traitants emporte la conviction. Le SMR retient qu'il n'y a pas d'aggravation objective de l'état de santé de la recourante, cette dernière n'ayant, selon le dossier, pas tenté d'activité réellement adaptée à ses limitations fonctionnelles puisqu'elle aurait travaillé en dernier lieu en tant que femme de ménage et garde de personnes âgées. La nouvelle appréciation du Dr C______ revoyant à la baisse la capacité de travail de la recourante dans une activité adaptée était de plus fondée sur les plaintes subjectives de celle-ci, sans que le diagnostic ne soit modifié et sans qu'un déficit sensitivo-moteur ne soit relevé. Les limitations fonctionnelles que ce médecin retenait dans ses précédents rapports tenaient compte des atteintes à la santé, à savoir de l'atteinte au rachis cervical et de l'anévrisme. Concernant le rapport de la Dre D______, il ne mettait pas en avant de modification de la médication ; le traitement de dérivés morphiniques n'était utilisé qu'une fois par semaine environ et les autres traitements n'entraînaient pas de fatigabilité. Quant aux opérations pour traiter le ptérygion et le tunnel carpien, elles entraînaient des incapacités de travail limitées dans le temps. S'il est certes vrai que le neurologue traitant ne fait pas état, dans son rapport du</w:t>
      </w:r>
    </w:p>
    <w:p>
      <w:r>
        <w:rPr>
          <w:b/>
        </w:rPr>
        <w:t>E. 14.3</w:t>
      </w:r>
    </w:p>
    <w:p>
      <w:r>
        <w:t>En définitive, la chambre de céans n'est pas convaincue par l'appréciation des preuves menée par l'intimé et ne s'estime pas en mesure de statuer sur le cas, même sous l'angle de la vraisemblance prépondérante. Le rapport du SMR du 31 mars 2023 présente en particulier des lacunes et des incohérences qui ne permettent pas de lui accorder une pleine force probante, tandis que celui antérieur du 13 janvier 2022 a été rendu avant que tous les éléments pertinents pour statuer sur le cas ne soient versés au dossier, singulièrement avant que les rapports des médecins traitants contestant la conclusion selon laquelle la recourante disposerait d'une capacité de travail de 50% dans une activité adaptée ne soient produits. Il sied en outre de rappeler que les médecins des HUG ont jugé le cas complexe et ont souhaité adresser la recourante à la consultation de la douleur, sans que l'on sache si elle s'y est rendue et quelles ont été les constatations de ce service. La jurisprudence en matière d'appréciation des preuves étant stricte lorsqu'un cas est fondé uniquement sur les rapports du SMR et imposant la réalisation d'une</w:t>
      </w:r>
    </w:p>
    <w:p>
      <w:r>
        <w:t>A/564/2023 - 16/17 - expertise si des doutes existent quant à la fiabilité et la pertinence de ceux-ci (cf. consid. 11.2 supra), l'intimé n'ayant pas suffisamment instruit le cas d'espèce, il se justifie par conséquent de lui renvoyer le dossier afin qu'il en complète l'instruction et mette en œuvre toutes mesures utiles, en particulier une expertise. Cette expertise médicale devra notamment porter sur la question de la capacité de la recourante à exercer une activité légère respectant les limitations fonctionnelles d'ores et déjà admises par le SMR (épargne du rachis cervical, i.e. éviter la rotation et la flexion/extension du cou répétée, soutenue et avec des grandes amplitudes, et éviter le port de charges moyennes et lourdes) et son évolution dans le temps, sur une éventuelle diminution de rendement dans une telle activité, sur le traitement exigible et sur les éventuels effets indésirables de la médication. Il paraît judicieux que l'intimé interroge plus précisément les médecins traitants de la recourante quant aux dates d'apparition des diagnostics secondaires (atteintes aux mains, céphalées, état anxio-dépressif), leurs éventuels effets sur la capacité de travail de la recourante dans le temps, ainsi que sur la médication prise par la recourante (notamment la dose de dérivés morphiniques consommés), avant de décider s'il met uniquement en œuvre une expertise monodisciplinaire en neurologie ou si d'autres spécialités, telles que notamment la psychiatrie ou la médecine interne générale doivent être ajoutées. Dans l'optique de l'éclaircissement du cas, il paraît par ailleurs recommandé de préciser quelles tâches concrètes la recourante réalisait à raison de deux heures par jour – que ses médecins ont jugé adaptées à ses limitations fonctionnelles – avant d'être mise en arrêt total de travail. 15. Par conséquent, le recours sera partiellement admis et la décision du</w:t>
      </w:r>
    </w:p>
    <w:p>
      <w:r>
        <w:rPr>
          <w:b/>
        </w:rPr>
        <w:t>E. 19</w:t>
      </w:r>
    </w:p>
    <w:p>
      <w:r>
        <w:t>janvier 2023, sera annulée en tant qu'elle refuse à la recourante une rente supérieure à une demi-rente d'invalidité. La cause sera renvoyée à l'intimé pour instruction complémentaire dans le sens des considérants et nouvelle décision sur ce point. L'octroi d'une demi-rente n'étant pas contesté, il sera par ailleurs confirmé. 16. La recourante obtenant partiellement gain de cause, une indemnité de CHF 1'500.- lui sera accordée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200.- (art. 69 al. 1bis LAI).</w:t>
      </w:r>
    </w:p>
    <w:p>
      <w:r>
        <w:t>***</w:t>
      </w:r>
    </w:p>
    <w:p>
      <w:r>
        <w:t>A/564/2023 - 17/17 -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