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ATAS/1014/2015 vom 23. Dezember 2015</w:t>
      </w:r>
    </w:p>
    <w:p>
      <w:r>
        <w:t>GE Cour de justice, 2015-12-23, FR</w:t>
      </w:r>
    </w:p>
    <w:p>
      <w:r>
        <w:rPr>
          <w:b/>
        </w:rPr>
        <w:t xml:space="preserve">Quelle: </w:t>
      </w:r>
      <w:r>
        <w:t>https://mcp.opencaselaw.ch/entscheid/ge_gerichte_ATAS_1014_2015</w:t>
      </w:r>
    </w:p>
    <w:p>
      <w:r>
        <w:t>FR: GE_GERICHTE ATAS/1014/2015 du 23 décembre 2015</w:t>
      </w:r>
    </w:p>
    <w:p>
      <w:r>
        <w:t>IT: GE_GERICHTE ATAS/1014/2015 del 23 dicembre 2015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t>A/3621/2015 4/5</w:t>
      </w:r>
    </w:p>
    <w:p>
      <w:r>
        <w:rPr>
          <w:b/>
        </w:rPr>
        <w:t>E. 3</w:t>
      </w:r>
    </w:p>
    <w:p>
      <w:r>
        <w:t>En l’espèce, le juge de première instance a ordonné le partage par moitié des prestations de sortie acquises durant le mariage par les demandeurs. Les dates pertinentes sont, d’une part, le 8 novembre 2001, date du mariage, d’autre part le 24 septembre 2015, date à laquelle le jugement de divorce est devenu exécutoire.</w:t>
      </w:r>
    </w:p>
    <w:p>
      <w:r>
        <w:rPr>
          <w:b/>
        </w:rPr>
        <w:t>E. 4</w:t>
      </w:r>
    </w:p>
    <w:p>
      <w:r>
        <w:t>Selon les documents produits, la prestation acquise pendant le mariage par le demandeur s'élève à CHF 2'212.70 tandis que celle acquise par la demanderesse atteint la somme de CHF 131'695.30 (147'879.80 - 16'184.50), les intérêts ayant déjà été calculés par les institutions de prévoyance défenderesses. Ainsi le demandeur doit à son ex-épouse le montant de CHF 1'106.35 (2'212.70 : 2) alors qu'elle lui doit celui de CHF 65'847.65 (131'695.30 : 2), de sorte que c’est en définitive la demanderesse qui doit à son ex-époux le montant de CHF 64'741.30 (65’847.65 - 1'106.35). Pour répondre aux interrogations de la demanderesse dans son courrier du 13 décembre 2015, il est précisé que si certains montants n’apparaissent pas expressément dans le décompte de l’institution supplétive, c’est parce que celle-ci a procédé à des regroupements de comptes (cf. « crédits de regroupements de comptes » dans son décompte). Par ailleurs, s’il est vrai qu’un courrier à l’intitulé erroné a été adressé à l’une des institutions de prévoyance (Fortius), cela est sans conséquence car en définitive, il est apparu que le personnel de E______ n’a été affilié à cette institution qu’à partir de 2012. Au final, aucune trace d’une affiliation du demandeur au 2ème pilier n’a été retrouvée pour son activité auprès de E______ en 2011, vraisemblablement en raison de la modicité du revenu réalisé.</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A/3621/2015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