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ATAS/1013/2023 vom 19. Dezember 2023</w:t>
      </w:r>
    </w:p>
    <w:p>
      <w:r>
        <w:t>GE Cour de justice, 2023-12-19, FR</w:t>
      </w:r>
    </w:p>
    <w:p>
      <w:r>
        <w:rPr>
          <w:b/>
        </w:rPr>
        <w:t xml:space="preserve">Quelle: </w:t>
      </w:r>
      <w:r>
        <w:t>https://mcp.opencaselaw.ch/entscheid/ge_gerichte_ATAS_1013_2023</w:t>
      </w:r>
    </w:p>
    <w:p>
      <w:r>
        <w:t>FR: GE_GERICHTE ATAS/1013/2023 du 19 décembre 2023</w:t>
      </w:r>
    </w:p>
    <w:p>
      <w:r>
        <w:t>IT: GE_GERICHTE ATAS/1013/2023 del 19 dicembre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w:t>
      </w:r>
    </w:p>
    <w:p>
      <w:r>
        <w:t>A/1632/2022 - 11/22 -</w:t>
      </w:r>
    </w:p>
    <w:p>
      <w:r>
        <w:rPr>
          <w:b/>
        </w:rPr>
        <w:t>E. 4.1</w:t>
      </w:r>
    </w:p>
    <w:p>
      <w:r>
        <w:t>Aux termes de l'art. 6 LAA, si ladite loi n'en dispose pas autrement, les prestations d'assurance sont allouées en cas d'accident professionnel, d'accident non professionnel et de maladie professionnelle.</w:t>
      </w:r>
    </w:p>
    <w:p>
      <w:r>
        <w:rPr>
          <w:b/>
        </w:rPr>
        <w:t>E. 4.1.1</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4.1.2</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par suite d'un accident (art. 18 al. 1 LAA), ainsi qu'une indemnité équitable pour atteinte à l'intégrité (IPAI) si l'assuré souffre par suite de l'accident d'une atteinte importante et durable à son intégrité physique, mentale ou psychique (art. 24 al. 1 LAA). L’art. 19 LAA dispose que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w:t>
      </w:r>
    </w:p>
    <w:p>
      <w:r>
        <w:rPr>
          <w:b/>
        </w:rPr>
        <w:t>E. 4.2</w:t>
      </w:r>
    </w:p>
    <w:p>
      <w:r>
        <w:t>En l’occurrence, comme clarifié par la voix du recourant et de son conseil lors de l’audience du 26 septembre 2023, la stabilisation de son état de santé après le 31 octobre 2021 n’est pas contestée, ni non plus le taux de l’IPAI fixé à 5% (quand bien même l’intéressé semble estimer à l’allégué 24 de son recours qu’« un bras quasiment paralysé constitue une atteinte sévère à l’intégrité, à tout</w:t>
      </w:r>
    </w:p>
    <w:p>
      <w:r>
        <w:t>A/1632/2022 - 12/22 - le moins de plus de 5% », mais étant précisé qu’il n’a formulé de conclusions sur ce point ni dans son opposition ni dans son recours). Seule est donc litigieuse la question de l’octroi ou non d’une rente d’invalidité selon la LAA et, le cas échéant, à quel taux. De jurisprudence constante, le juge apprécie en règle générale la légalité des décisions entreprises d'après l'état de fait existant au moment où la décision litigieuse a été rendue (ATF 144 V 210 consid. 4.3.1 ; 132 V 215 consid. 3.1.1). Les faits survenus postérieurement – ici au 20 avril 2022 (date du prononcé de la décision sur opposition querellée) –,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4.3</w:t>
      </w:r>
    </w:p>
    <w:p>
      <w:r>
        <w:t>Si l'assuré est invalide (art. 8 LPGA) à 10 % au moins par suite d’un accident, il a droit à une rente d'invalidité, pour autant que l’accident soit survenu avant l’âge ordinaire de la retraite (art. 18 al. 1 LAA, dans sa teneur en vigueur à compter du 1er janvier 2017). Est réputée invalidité, l'incapacité de gain totale ou partielle présumée permanente ou de longue durée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w:t>
      </w:r>
    </w:p>
    <w:p>
      <w:r>
        <w:t>A/1632/2022 - 13/22 - réadaptation, sur un marché du travail équilibré (art. 16 LPGA; méthode ordinaire de la comparaison des revenus).</w:t>
      </w:r>
    </w:p>
    <w:p>
      <w:r>
        <w:rPr>
          <w:b/>
        </w:rPr>
        <w:t>E. 4.4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4.4.1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w:t>
      </w:r>
    </w:p>
    <w:p>
      <w:r>
        <w:t>A/1632/2022 - 14/22 -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A/1632/2022 - 15/22 -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4.5.2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4.5.3</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5.1</w:t>
      </w:r>
    </w:p>
    <w:p>
      <w:r>
        <w:t>En l’espèce, les allégations et arguments du recourant sont en substance les suivants.</w:t>
      </w:r>
    </w:p>
    <w:p>
      <w:r>
        <w:rPr>
          <w:b/>
        </w:rPr>
        <w:t>E. 5.1.1</w:t>
      </w:r>
    </w:p>
    <w:p>
      <w:r>
        <w:t>Dans son recours, le recourant fait valoir qu’à la suite de son accident dans le cadre duquel « il est tombé des échafaudages et s’est gravement blessé l’avant- bras », il souffre de douleurs qui persistent à ce jour et, de façon concrète, il est</w:t>
      </w:r>
    </w:p>
    <w:p>
      <w:r>
        <w:t>A/1632/2022 - 16/22 - dans l’incapacité de bouger et faire usage de son bras gauche. Selon lui, il ne peut plus travailler dans le secteur du bâtiment, domaine dans lequel il a une expérience professionnelle. « Il est improbable, voire impossible, [qu’il] retrouve un emploi lui assurant le même salaire que son emploi dans le secteur du bâtiment au vu de son handicap même s’il fournit des efforts raisonnables. En effet, [il] ne peut plus faire usage de son bras gauche. Il ne parle pas couramment le français et n’a ni qualifications ni expériences professionnelles dans d’autres domaines. Il peine à comprendre le raisonnement de la SUVA dans la mesure où un bras paralysé constitue une atteinte grave à l’intégrité corporelle et réduit de façon conséquente la capacité de travail ». D’après l’intéressé, sa perte de rendement est d’au minimum 10%.</w:t>
      </w:r>
    </w:p>
    <w:p>
      <w:r>
        <w:rPr>
          <w:b/>
        </w:rPr>
        <w:t>E. 5.1.2</w:t>
      </w:r>
    </w:p>
    <w:p>
      <w:r>
        <w:t>Lors de l’audience du 26 septembre 2023, le recourant, assisté d’une interprète dans sa langue maternelle ainsi que de son conseil, déclare : « Sur question du Président, mon problème concerne la main et l'avant-bras gauches. J'ai des douleurs constantes. Des fois cela m'empêche même de dormir. Vous pouvez voir comment je tremble. J'ai des douleurs constantes même quand je me douche et que je m'habille. Je ne peux rien faire avec cette main. Je ne peux pas bien bouger ma main et mon avant-bras gauches. C'est comme si j'avais un courant électrique qui les parcourt. Parfois, c'est l'avant-bras et la main gauches sont bleus comme si j'avais un hématome ». Le président relate ensuite : « [L’assuré] fait une rotation des deux côtés de ses deux bras. Le bras gauche parait avoir plus de difficultés à effectuer la rotation. Après cet exercice la main gauche semble trembler ». Puis l’intéressé indique : « Sur question du Président, je ne peux pas porter quelque chose avec mon bras gauche. Je peux saisir quelque chose mais alors ma force lâche. Je peux saisir des petits objets. Je peux prendre une assiette avec main gauche mais souvent elle tombe par terre. Je suis droitier ». Toujours lors de ladite audience, l’avocate de la caisse et l’avocat de l’intéressé considèrent tous deux qu’il n’y a pas d’éléments dans le dossier montrant des limitations concernant le bras droit. Le conseil de l’assuré indique ne pas tirer de conclusion particulière des rapports produits au printemps 2023 si ce n'est qu'ils démontrent d’après lui l'impossibilité pour l’intéressé de porter quoi que ce soit avec son bras gauche. Toujours selon ledit avocat à la suite d’une remarque du président selon laquelle le niveau de compétence 1 retenu par l’intimée pour le revenu avec invalidité statistique correspond à des tâches simples et répétitives quel que soit le domaine d'activité, le recourant n'arrive même pas à effectuer des tâches simples et répétitives. Même pour ce type de tâche il devrait à un moment donné être obligé d'utiliser les deux bras. Ledit conseil comprendrait une possibilité d'une activité de bureau avec une seule main, mais un tel emploi ne paraît pas à l'ordre du jour vu les qualifications de l’assuré, qui ne parle pas français et n'a pas de formation. L’avocat précise ensuite contester tout (constatations et appréciations) ce qui émane du Dr O______, donc également les limitations fonctionnelles que ce dernier retient,</w:t>
      </w:r>
    </w:p>
    <w:p>
      <w:r>
        <w:t>A/1632/2022 - 17/22 - ajoutant que le recourant est incapable de porter des charges même inférieures à 5 kg. L’assuré déclare ensuite : « Sur question du Président qui me demande si j'arrive à faire des mouvements fins avec ma main gauche (utiliser les doigts pour actionner des petits objets), je réponds que j'arrive très peu à le faire et qu'assez vite j'ai comme un courant électrique qui me traverse depuis les doigts jusqu'au coude. Parfois avec irradiation jusqu'à l'épaule, voire le cou. Je ne peux pas utiliser mon bras gauche comme soutien à mon bras droit. Je n'utilise que le bras droit pour me raser, par exemple ».</w:t>
      </w:r>
    </w:p>
    <w:p>
      <w:r>
        <w:rPr>
          <w:b/>
        </w:rPr>
        <w:t>E. 5.2</w:t>
      </w:r>
    </w:p>
    <w:p>
      <w:r>
        <w:t>Cela étant, les rapports du Dr O______, médecin d'arrondissement de la SUVA, notamment celui du 30 juillet 2021 faisant suite à l’" examen final ", répondent, sur le plan formel et d'une manière générale, en principe aux exigences posées par la jurisprudence pour qu'on puisse leur accorder une pleine valeur probante : ils émanent d'un médecin spécialiste du domaine en question (chirurgie orthopédique et traumatologie de l'appareil locomoteur), sur la base d'observations approfondies et d'investigations complètes, ainsi qu'en pleine connaissance du dossier. En particulier, dans son rapport du 30 juillet 2021 faisant suite à l’" examen final ", le médecin d'arrondissement a personnellement examiné l'intéressé préalablement à l'établissement de son rapport ; il a consigné les renseignements anamnestiques pertinents, recueilli les plaintes de l'assuré et résumé ses propres constatations ; il a en outre énoncé les diagnostics retenus et répondu aux questions pertinentes.</w:t>
      </w:r>
    </w:p>
    <w:p>
      <w:r>
        <w:rPr>
          <w:b/>
        </w:rPr>
        <w:t>E. 5.3</w:t>
      </w:r>
    </w:p>
    <w:p>
      <w:r>
        <w:t>Force est de constater que le recourant n’apporte aucun élément médical probant, ni même un indice concret, à l’encontre de l’appréciation du médecin d’arrondissement de la SUVA, selon lequel celui-là a une capacité de travail nulle dans l’activité habituelle de carreleur mais entière dans une activité professionnelle adaptée aux limitations fonctionnelles suivantes : port de charges supérieures à 5 kg de manière occasionnelle et régulière, de même que les mouvements fins nécessitant des mouvements répétitifs du membre supérieur gauche, le membre supérieur gauche pouvant en revanche être utilisé comme soutien au côté droit.</w:t>
      </w:r>
    </w:p>
    <w:p>
      <w:r>
        <w:rPr>
          <w:b/>
        </w:rPr>
        <w:t>E. 5.3.1</w:t>
      </w:r>
    </w:p>
    <w:p>
      <w:r>
        <w:t>Notamment, les rapports de la CRR ne vont pas dans un autre sens que cette appréciation, ce d’autant moins qu’ils datent de presque une année avant le rapport du médecin d’arrondissement du 30 juillet 2021, et à une époque où l’état de santé de l’intéressé n’était pas encore considéré comme stabilisé. C'est de manière crédible que le conseil de l'intimée, par rapport aux limitations fonctionnelles provisoires retenues par la CRR (port de charges avec la main gauche, activités nécessitant une force importante et des mouvements répétés du membre supérieur gauche), indique qu'il n'est pas contradictoire qu'ultérieurement le Dr O______ ait retenu des limitations fonctionnelles un peu différentes, notamment sur la base d'un examen clinique et de l'examen des pièces au dossier,</w:t>
      </w:r>
    </w:p>
    <w:p>
      <w:r>
        <w:t>A/1632/2022 - 18/22 - ce qui inclut l'imagerie médicale. Cette différence apparaît en effet minime, les médecins de la CRR semblant déconseiller d'une manière générale tout port de charges avec le bras gauche, alors que le médecin d'arrondissement de la SUVA le limite à 5 kg au maximum, différence pouvant s'expliquer en particulier par le fait que les conclusions sur ce point du Dr O______ sont postérieures d'environ une année à celles de la CRR. Cette dernière et le médecin d’arrondissement s’accordent, pour le reste, quant à l’évitement des mouvements répétitifs du membre supérieur gauche.</w:t>
      </w:r>
    </w:p>
    <w:p>
      <w:r>
        <w:rPr>
          <w:b/>
        </w:rPr>
        <w:t>E. 5.3.2</w:t>
      </w:r>
    </w:p>
    <w:p>
      <w:r>
        <w:t>Ni les rapports de la consultation ambulatoire de la douleur des HUG ni d’éventuels rapports du médecin orthopédiste traitant, le Dr G______, ne contiennent des indications pertinentes relatives à la capacité de travail et aux limitations fonctionnelles, étant au surplus relevé qu’ils portent sur la période où l’état de santé de l’assuré n’était pas encore considéré comme stabilisé. C’est de manière non motivée que le Dr G______ considère le 23 juin 2021 l’assuré comme non apte au travail, appréciation qui n’est au demeurant pas confirmée par la suite par ce médecin.</w:t>
      </w:r>
    </w:p>
    <w:p>
      <w:r>
        <w:rPr>
          <w:b/>
        </w:rPr>
        <w:t>E. 5.3.3</w:t>
      </w:r>
    </w:p>
    <w:p>
      <w:r>
        <w:t>Les rapports établis au premier semestre 2023 par le service de chirurgie orthopédique et traumatologie de l’appareil moteur des HUG ne sont pas non plus en faveur de la position et des conclusions du recourant, si tant est qu’ils puissent être pris en considération dans la mesure où ils ne rapporteraient pas d’évolution (notamment aggravation) par rapport à la situation médicale existant à la date du prononcé le 20 avril 2022 de la décision sur opposition présentement litigieuse (question qui peut demeurer indécise). On ne discerne notamment pas de problèmes particuliers qui ressortiraient du rapport de « consultation médicale de suivi » établi le 7 mars 2023 par le service de chirurgie orthopédique et traumatologie de l’appareil moteur, unité de chirurgie de la main et des nerfs périphériques, des HUG. En outre, une éventuelle divergence entre le Dr O______ et ledit service (rapport du 13 avril 2023) en matière de mesure (Jamar) serait ici sans incidence sur les questions pertinentes.</w:t>
      </w:r>
    </w:p>
    <w:p>
      <w:r>
        <w:rPr>
          <w:b/>
        </w:rPr>
        <w:t>E. 5.4</w:t>
      </w:r>
    </w:p>
    <w:p>
      <w:r>
        <w:t>Les arguments du recourant selon lesquels il ne parle pas couramment le français et n’a ni qualifications ni expériences professionnelles dans d’autres domaines que le secteur du bâtiment ne sont pas d’ordre médical et sont dès lors sans pertinence concernant la capacité de travail (y compris sous l’angle du rendement) et les limitations fonctionnelles.</w:t>
      </w:r>
    </w:p>
    <w:p>
      <w:r>
        <w:rPr>
          <w:b/>
        </w:rPr>
        <w:t>E. 5.5</w:t>
      </w:r>
    </w:p>
    <w:p>
      <w:r>
        <w:t>En définitive, comme exposé à juste titre par l’intimée, il est admis que le recourant souffre encore de douleurs au bras gauche et « sur le versant ulnaire du poignet gauche » (rapport du 13 avril 2023 du service de chirurgie orthopédique et traumatologie de l’appareil moteur des HUG), et qu’il ne peut plus exercer son ancienne activité professionnelle de carreleur ou toute autre profession ne respectant pas les imitations fonctionnelles exprimées par le Dr O______.</w:t>
      </w:r>
    </w:p>
    <w:p>
      <w:r>
        <w:t>A/1632/2022 - 19/22 - En revanche, du point de vue médical, l’assuré a une capacité de travail entière dans une activité adaptée respectant les limitations fonctionnelles énoncées par ce médecin d’arrondissement. En l’absence d’un quelconque indice concret susceptible de mettre en doute les appréciation et conclusions du médecin d’arrondissement de la caisse, une expertise médicale, qu’elle soit judiciaire ou à mettre en œuvre par l’intimée, n’a, par appréciation anticipée des preuves, pas lieu d’être.</w:t>
      </w:r>
    </w:p>
    <w:p>
      <w:r>
        <w:rPr>
          <w:b/>
        </w:rPr>
        <w:t>E. 5.6</w:t>
      </w:r>
    </w:p>
    <w:p>
      <w:r>
        <w:t>Reste la question de la composante économique de l’invalidité résultant des limitations fonctionnelles retenues ci-dessus.</w:t>
      </w:r>
    </w:p>
    <w:p>
      <w:r>
        <w:rPr>
          <w:b/>
        </w:rPr>
        <w:t>E. 5.6.1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La mesure dans laquelle les salaires ressortant des statistiques doivent être réduits – abattement –,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w:t>
      </w:r>
    </w:p>
    <w:p>
      <w:r>
        <w:t>A/1632/2022 - 20/22 -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arrêt du Tribunal fédéral 8C_608/2021 du 26 avril 2022 consid. 3.3 et les références).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Par exemple, un abattement de 10% a été confirmé par le Tribunal fédéral dans un cas de non-usage de la main et du bras gauches, la personne assurée pouvant trouver dans le marché du travail équilibré des emplois ne nécessitant pas l’usage de la main et du bras gauches, tels que des activités simples de surveillance, examen et contrôle ainsi que l’utilisation et la surveillance de machine semi- automatique ou d’unités de production (cf. arrêt du Tribunal fédéral 8C_366/2013 du 18 juin 2013 consid. 4.2).</w:t>
      </w:r>
    </w:p>
    <w:p>
      <w:r>
        <w:rPr>
          <w:b/>
        </w:rPr>
        <w:t>E. 5.6.2</w:t>
      </w:r>
    </w:p>
    <w:p>
      <w:r>
        <w:t>Dans le cas présent, le recourant ne conteste pas la comparaison des revenus effectuée par l’intimée. Au demeurant, pour ce qui est du revenu avec invalidité, l'intimée, dans son "calcul du taux d'invalidité avec les chiffres de [l'ESS]" et son "résumé des documents déterminant pour la fixation de la rente", a – à juste titre – pris en considération l’année 2021 pour le départ de la rente, ainsi que le niveau de compétence 1 – le moins élevé –, pour un homme. Etant donné qu'au 19 novembre 2021 l'ESS 2020 n'avait pas encore été établie par l'Office fédéral de la statistique (ci-après : OFS) – elle ne l'a été que le 23 août 2022 –, la caisse est partie de l'ESS 2018, "secteur privé, Suisse", tableau TA1_skill_level – publiée le 21 avril 2020 par l'OFS et accessible par internet (https://www.bfs.admin.ch/bfs/fr/ home/actualites/quoi-de-neuf.assetdetail.12488213.html), plus précisément du salaire mensuel (pour 40 heures par semaines) pour les hommes sous "total" pour le niveau de compétence 1 (tâches physiques et manuelles simples), c'est-à-dire CHF 5'417.-, qu'elle a annualisé à CHF 65'004.- après l'avoir multiplié par 12. Ce revenu a ensuite été ajusté en fonction de la moyenne des heures travaillées en Suisse (41,7 heures) et de l’indexation des salaires nominaux, puis a fait l’objet d’un abattement de 10% afin de tenir compte des limitations fonctionnelles. Ce calcul a été correctement effectué par la SUVA, en conformité avec la jurisprudence citée plus haut, y compris relativement à l’abattement de 10%, que le recourant ne conteste du reste pas. Notamment, il existe un nombre suffisant d’emplois compatibles avec les limitations fonctionnelles liées à l’évitement du port de charges supérieures à 5 kg</w:t>
      </w:r>
    </w:p>
    <w:p>
      <w:r>
        <w:t>A/1632/2022 - 21/22 - avec le bras gauche, voire même avec les deux bras, ainsi qu’à l’évitement des mouvements fins nécessitant des mouvements répétitifs du membre supérieur gauche (cf. notamment arrêt du Tribunal fédéral 8C_366/2013 précité consid. 4.2). À cet égard, selon le rapport « mandat de réadaptation » établi le 18 août 2021 et confirmé le 11 novembre 2021 par l’équipe réadaptation de l’OAI, l’assuré pourrait prétendre à de nombreux emplois tels que patrouilleur scolaire, surveillant de cantines scolaires, « contrôleur/visiteur en salle blanche dans l’industrie légère », « huissier par exemple dans un musée », chauffeur- livreur.</w:t>
      </w:r>
    </w:p>
    <w:p>
      <w:r>
        <w:rPr>
          <w:b/>
        </w:rPr>
        <w:t>E. 6</w:t>
      </w:r>
    </w:p>
    <w:p>
      <w:r>
        <w:t>Vu ce qui précède, la décision sur opposition querellée est en tous points conforme au droit, et le recours, infondé, doit être rejeté.</w:t>
      </w:r>
    </w:p>
    <w:p>
      <w:r>
        <w:rPr>
          <w:b/>
        </w:rPr>
        <w:t>E. 7</w:t>
      </w:r>
    </w:p>
    <w:p>
      <w:r>
        <w:t>La procédure est gratuite (art. 89H al. 1 LPA et vu l'art. 61 let. fbis LPGA).</w:t>
      </w:r>
    </w:p>
    <w:p>
      <w:r>
        <w:t>***</w:t>
      </w:r>
    </w:p>
    <w:p>
      <w:r>
        <w:t>A/1632/2022 - 22/22 -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