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ATAS/1013/2020 vom 26. Oktober 2020</w:t>
      </w:r>
    </w:p>
    <w:p>
      <w:r>
        <w:t>GE Cour de justice, 2020-10-26, FR</w:t>
      </w:r>
    </w:p>
    <w:p>
      <w:r>
        <w:rPr>
          <w:b/>
        </w:rPr>
        <w:t xml:space="preserve">Quelle: </w:t>
      </w:r>
      <w:r>
        <w:t>https://mcp.opencaselaw.ch/entscheid/ge_gerichte_ATAS_1013_2020</w:t>
      </w:r>
    </w:p>
    <w:p>
      <w:r>
        <w:t>FR: GE_GERICHTE ATAS/1013/2020 du 26 octobre 2020</w:t>
      </w:r>
    </w:p>
    <w:p>
      <w:r>
        <w:t>IT: GE_GERICHTE ATAS/1013/2020 del 26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w:t>
      </w:r>
    </w:p>
    <w:p>
      <w:r>
        <w:t>- 6/10-</w:t>
      </w:r>
    </w:p>
    <w:p>
      <w:r>
        <w:t>A/1827/2019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droit du recourant à une rente d’invalidité supérieure à 28 %, à une IPAI d’un degré supérieur à 25 %, ainsi que sur le montant du gain annuel assuré à prendre en compte pour le calcul de la rente.</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w:t>
      </w:r>
    </w:p>
    <w:p>
      <w:r>
        <w:t>- 7/10-</w:t>
      </w:r>
    </w:p>
    <w:p>
      <w:r>
        <w:t>A/1827/2019 habituellement pas selon l'expérience médicale (ATF 118 V 286 consid. 3a et ATF 117 V 359 consid. 5d/bb; arrêt du Tribunal fédéral des assurances U 351/04 du 14 février 2006 consid. 3.2). c. Dans le cas de troubles psychiques additionnels à une atteinte à la santé physique, le caractère adéquat du lien de causalité suppose que l'accident ait eu une importance déterminante dans leur déclenchement. (ATF 115 V 403 consid. 5).</w:t>
      </w:r>
    </w:p>
    <w:p>
      <w:r>
        <w:rPr>
          <w:b/>
        </w:rPr>
        <w:t>E. 5</w:t>
      </w:r>
    </w:p>
    <w:p>
      <w:r>
        <w:t>a.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w:t>
      </w:r>
    </w:p>
    <w:p>
      <w:r>
        <w:rPr>
          <w:b/>
        </w:rPr>
        <w:t>E. 6</w:t>
      </w:r>
    </w:p>
    <w:p>
      <w:r>
        <w:t>Aux termes de l'art. 24 LAA, si par suite d'un accident, l'assuré souffre d'une atteinte importante et durable à son intégrité physique, mentale ou psychique, il a</w:t>
      </w:r>
    </w:p>
    <w:p>
      <w:r>
        <w:t>- 8/10-</w:t>
      </w:r>
    </w:p>
    <w:p>
      <w:r>
        <w:t>A/1827/2019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la chambre de céans a estimé qu’une expertise judiciaire était nécessaire, laquelle a été confiée au Dr H______.</w:t>
      </w:r>
    </w:p>
    <w:p>
      <w:r>
        <w:t>- 9/10-</w:t>
      </w:r>
    </w:p>
    <w:p>
      <w:r>
        <w:t>A/1827/2019 Le rapport de celui-ci, du 12 juin 2020, a été jugé probant par les parties, lesquelles se sont ralliées aux conclusions de l’expert. En particulier, l’intimée a partiellement acquiescé aux conclusions du recours dans le sens qu’elle admet devoir verser au recourant une rente d’invalidité de 44 % du 1er juillet 2017 au 29 février 2020 et de 60 % dès le 1er mars 2020, ainsi qu’une IPAI de 35 %. Ces conclusions, rejoignent celles finalement formulées par le recourant le 16 juillet 2020. Au vu de ce qui précède, il convient d’admettre le recours, d’annuler la décision litigieuse et de dire que le recourant a droit aux prestations précitées, sous déduction de celles déjà versées. b. Le recourant requiert également des intérêts moratoires sur les prestations dues.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In casu, dès le 1er juillet 2019, soit deux ans après la date à laquelle l’intimée a tranché le droit à la rente et à l’indemnité pour atteinte à l’intégrité, le recourant a droit à des intérêts moratoires de 5% l’an calculés conformément à l’art. 7 OPGA sur la partie restant due à ce titre et non encore versée à cette date, étant constaté que le délai de douze mois de l’art. 26 al. 2 LPGA est respecté, le recourant ayant contesté le 13 juin 2018 la décision de l’intimée du 16 mai 2018.</w:t>
      </w:r>
    </w:p>
    <w:p>
      <w:r>
        <w:rPr>
          <w:b/>
        </w:rPr>
        <w:t>E. 9</w:t>
      </w:r>
    </w:p>
    <w:p>
      <w:r>
        <w:t>Vu l’issue du litige, une indemnité de CHF 4’000.- sera accordée au recourant à titre de participation à ses frais et dépens (art. 61 let. g LPGA; art. 6 du règlement sur les frais, émoluments et indemnités en matière administrative du 30 juillet 1986 [RFPA - E 5 10.03]), à charge de l’intimée. Les frais d’expertise restent à la charge de l’Etat. ***</w:t>
      </w:r>
    </w:p>
    <w:p>
      <w:r>
        <w:t>- 10/10-</w:t>
      </w:r>
    </w:p>
    <w:p>
      <w:r>
        <w:t>A/1827/2019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