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ATAS/1013/2018 vom 5. November 2018</w:t>
      </w:r>
    </w:p>
    <w:p>
      <w:r>
        <w:t>GE Cour de justice, 2018-11-05, FR</w:t>
      </w:r>
    </w:p>
    <w:p>
      <w:r>
        <w:rPr>
          <w:b/>
        </w:rPr>
        <w:t xml:space="preserve">Quelle: </w:t>
      </w:r>
      <w:r>
        <w:t>https://mcp.opencaselaw.ch/entscheid/ge_gerichte_ATAS_1013_2018</w:t>
      </w:r>
    </w:p>
    <w:p>
      <w:r>
        <w:t>FR: GE_GERICHTE ATAS/1013/2018 du 5 novembre 2018</w:t>
      </w:r>
    </w:p>
    <w:p>
      <w:r>
        <w:t>IT: GE_GERICHTE ATAS/1013/2018 del 5 novembre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A/4826/2017 - 7/18 - contestations prévues à l'art. 43 de la loi cantonale sur les prestations complémentaires cantonales_ du 25 octobre 1968 (LPCC - J 4 25). Sa compétence pour juger du cas d’espèce est ainsi établie.</w:t>
      </w:r>
    </w:p>
    <w:p>
      <w:r>
        <w:rPr>
          <w:b/>
        </w:rPr>
        <w:t>E. 2</w:t>
      </w:r>
    </w:p>
    <w:p>
      <w:r>
        <w:t>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Dans la mesure où le recourant conclut notamment à la remise de son obligation de restituer, il y a lieu de déterminer, dans un premier temps,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b/aa.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w:t>
      </w:r>
    </w:p>
    <w:p>
      <w:r>
        <w:t>A/4826/2017 - 8/18 -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b/bb. A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du règlement relatif aux prestations cantonales complémentaires à l'assurance-vieillesse et survivants et à l’assurance-invalidité du 25 juin 1999 (RPCC-AVS/AI - J 4 25.03),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c. En l’espèce, la décision du 2 juin 2017, notifiée le 21 juin 2017, comprend des nouveaux calculs pour la période du 1er octobre au 31 décembre 2016 et calcule le droit du recourant pour la période dès le 1er janvier 2017. Quant à la demande de restitution, elle porte sur la restitution des prestations versées à tort entre le 1er octobre 2016 et le 30 juin 2017. Vu le recours pendant devant la chambre de céans, cette décision n’est pas entrée en force. Ainsi, tant que le principe de la restitution n’est pas établi définitivement, aucune autorité ni juridiction ne peut se prononcer sur la question de la remise. Au vu de ce qui précède, le litige porte uniquement sur la réduction du droit aux prestations complémentaires et sur le bien-fondé de la demande en restitution de CHF 24'195.-, singulièrement sur la prise en considération d’un gain potentiel, la question de la remise devant être examinée, dans un second temps, par le SPC.</w:t>
      </w:r>
    </w:p>
    <w:p>
      <w:r>
        <w:rPr>
          <w:b/>
        </w:rPr>
        <w:t>E. 4.1</w:t>
      </w:r>
    </w:p>
    <w:p>
      <w:r>
        <w:t>; arrêt du Tribunal fédéral 8C_258/2008 du 12 décembre 2008 consid. 4 ;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d. Il appartient à l'administration ou, en cas de recours, au juge d'examiner si l'on peut exiger du conjoint d’un assuré qu'il exerce une activité lucrative et,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cas</w:t>
      </w:r>
    </w:p>
    <w:p>
      <w:r>
        <w:t>A/4826/2017 - 12/18 - échéant, le temps plus ou moins long pendant lequel elle aura été éloignée de la vie professionnelle (ATF 134 V 53 consid. 4.1 et les références). e. Il est en règle générale admis, en droit de la famille, qu’un époux (ou une épouse) ne peut être tenu(e) de prendre ou reprendre une activité lucrative à un taux de 50% avant que le plus jeune des enfants dont il (ou elle) a la garde n’ait atteint l’âge de dix ans révolus et de 100% avant que l’enfant en question n’ait atteint l’âge de seize ans révolus (ATF 137 III 102 consid. 4.2.2.2 ; 115 II 6 consid. 3c). Les lignes directrices qu’avalise cette jurisprudence doivent cependant être appliquées de façon nuancée, en tenant compte des circonstances du cas d’espèce. Le juge dispose en la matière d’un large pouvoir d’appréciation (ATF 137 III 102 consid. 4.2.2.2 in fine ; 134 III 577 consid. 4). Le Tribunal fédéral s’est cependant montré plus restrictif pour la prise en compte d’un gain potentiel dans le cadre du calcul du droit aux prestations complémentaires à l’AVS/AI. Ainsi que l’indique Michel VALTERIO (Commentaire de la loi fédérale sur les prestations complémentaires à l’AVS et à l’AI, 2015, n. 139 ad art. 11, p. 190), notre Haute Cour a jugé que l’on pouvait exiger d’une épouse atteinte de fibromyalgie et âgée de 39 ans qu’elle exerce une activité lucrative au moins à mi-temps, même avec trois enfants à charge et en l’absence d’expérience professionnelle depuis son arrivée en Suisse, dans la mesure où elle devait pouvoir compter sur l’aide de son conjoint dans l’accomplissement des tâches éducatives et ménagères (arrêt du Tribunal fédéral 8C_470/2008 du 29 janvier 2009 consid. 5). De la même manière, le Tribunal fédéral a considéré qu’une activité lucrative à 50% pouvait être attendue d’une mère dont les enfants étaient âgés de 12, 14 et 16 ans, d’autant plus qu’il pouvait être exigé de son mari - au bénéfice d’une demi- rente d’invalidité - qu’il s’occupât d’eux durant ce laps de temps (arrêt du Tribunal fédéral 9C_916/2011 du 3 février 2012). Il a estimé qu’une activité à plein temps pouvait être exigée d’une femme de 41 ans ayant une fille âgée de 5 ans au moment déterminant (arrêt du Tribunal fédéral 8C_618/2007 du 20 juin 2008 consid. 4, dans lequel le Tribunal fédéral dit aussi qu’il y a lieu de déduire du revenu hypothétique les frais de garde des enfants selon les normes de l’impôt cantonal direct et selon le ch. 3421.04 des Directives de l’Office fédéral des assurances sociales concernant les prestations complémentaires à l’AVS et à l’AI - DPC), de même que de la mère d’un enfant de 10 ans en bonne santé et scolarisé à proximité du domicile (arrêt du Tribunal fédéral 9C_724/2013 du 23 janvier 2014 consid. 4). f. La chambre de céans, quant à elle, a jugé qu’il pouvait être attendu d’une femme âgée de près de 35 ans, disposant d’une pleine capacité de travail, en bonne santé, ayant accès au marché du travail, épouse d’un invalide à 100% et mère d’un enfant de 3 ans, qu’elle mette pleinement en œuvre sa capacité de travail, en cherchant un emploi à plein temps plutôt qu’en se contentant de son poste à mi-temps. Le cas</w:t>
      </w:r>
    </w:p>
    <w:p>
      <w:r>
        <w:t>A/4826/2017 - 13/18 - d’espèce présentait toutefois la double particularité que ladite épouse consacrait son mi-temps disponible à suivre une formation et que son époux, bien qu’invalide à 100%, était pleinement disponible et en mesure de s’occuper de l’enfant (ATAS/1157/2014). La chambre de céans a également jugé exigible de la part d’une femme encore jeune (37 ans), disposant d’une bonne instruction de base, parlant relativement bien le français, dont l’époux, au bénéfice d’une rente entière d’invalidité et occupé dans un atelier à 50% ne pouvait, du fait de sa fatigue au retour de ce travail, l’aider dans les tâches ménagères et éducatives, qu’elle prenne un emploi à mi-temps, dès lors que les trois premiers enfants du couple (âgés de 12 à 14 ans) étaient scolarisés mais non le dernier, âgé d’un an et demi (ATAS/468/2004). De même, l’exercice d’une activité à 50% a été jugée exigible de la part d’une femme ayant des enfants à charge, travaillant déjà comme patrouilleuse scolaire, mais à raison de 22 h/mois seulement, alors que son état de santé lui permettait d'exercer des travaux de nettoyage à raison de 2 h/jour en sus de l'activité de patrouilleuse (ATAS/372/2004). Une capacité de travail partielle a été retenue pour une femme de 48 ans, analphabète, n'ayant jamais exercé d'activité, ni lucrative, ni bénévole, avec des enfants adultes et adolescents, de santé fragile, atteinte d’une fibromyalgie qualifiée de non invalidante par l'assurance-invalidité (ATAS/246/2006 ; cf. également ATAS/1445/2007). La chambre de céans a, en revanche, estimé qu’aucun gain potentiel ne pouvait être pris en compte s’agissant d’une femme qui devait s’occuper de trois enfants non scolarisés (en plus de deux autres scolarisés), que son mari, vu son état de santé, ne pouvait aider pour les tâches ménagères et éducatives, qui ne bénéficiait elle-même d’aucune instruction de base, parlait mal le français et n’était que titulaire d’un permis F. La chambre de céans a néanmoins précisé qu’un emploi à mi-temps pourrait être attendu de cette mère de famille encore jeune et en bonne santé dès que le plus jeune de ses enfants à charge serait scolarisé (ATAS/1100/2014). Tout gain potentiel a été exclu s’agissant d’une femme sans aucune formation, ne parlant pratiquement pas le français et ayant à charge plusieurs enfants en bas âge (ATAS/750/2004). g. S’agissant de la capacité de travail du conjoint, les organes d'exécution en matière de prestations complémentaires ne sont pas fondés à se prévaloir d'un manque de connaissances spécialisées pour écarter d'emblée toute mesure d'instruction au sujet de l'état de santé d'une personne (arrêt du Tribunal fédéral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w:t>
      </w:r>
    </w:p>
    <w:p>
      <w:r>
        <w:t>A/4826/2017 - 14/18 - CHF 11'746.-.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8C_172/2007 précité, consid. 8; arrêt du Tribunal fédéral du 14 mars 2008 8C 68/2007). h. Selon la jurisprudence rendue à propos de l'art. 11 al. 1 let. g LPC, lorsque le conjoint du bénéficiaire de prestations complémentaires à l'AVS/AI serait tenu d'exercer une activité lucrative pour assumer (en tout ou en partie) l'entretien du couple, mais y renonce, il y a lieu de prendre en compte un revenu hypothétique après une période dite d'adaptation (arrêt du Tribunal fédéral 9C_240/2010 du 3 septembre 2010 consid. 4.1). Cette règle s’applique tant lorsqu’une prestation complémentaire est en cours que lors d’une demande initiale. Une sommation préalable de quelque forme que ce soit n’est en outre pas exigée pour la prise en compte d’un revenu hypothétique après le temps d’adaptation (arrêt du Tribunal fédéral 9C_630/2013 du 29 septembre 2014 consid. 5.1 et 5.2). À titre d’exemples, le Tribunal fédéral a considéré que l’octroi d’un délai de six mois par l’administration, porté à douze par la juridiction cantonale, pour la prise en compte d’un revenu hypothétique pour l'épouse d’un assuré invalide - dont l’état de santé ne nécessitait pas de soins -, âgée de 45 ans, au bénéfice d’une formation d'infirmière, sans enfant, ne parlant pas le français, devait être considéré comme suffisamment large, compte tenu du fait qu’elle n’avait pas de charge de ménage et pouvait exercer une activité non qualifiée à temps partiel. Ainsi, la prolongation de six mois supplémentaire accordée par les juges cantonaux pour des raisons linguistiques ne se justifiait pas (arrêt du Tribunal fédéral des assurances P.40/03 du</w:t>
      </w:r>
    </w:p>
    <w:p>
      <w:r>
        <w:rPr>
          <w:b/>
        </w:rPr>
        <w:t>E. 5</w:t>
      </w:r>
    </w:p>
    <w:p>
      <w:r>
        <w:t>Cela étant précisé, il convient d’examiner si l’intimé était légitimé à statuer en l’état du dossier. 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w:t>
      </w:r>
    </w:p>
    <w:p>
      <w:r>
        <w:t>A/4826/2017 - 9/18 -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 Kommentar zum Bundesgesetz über den Allgemeinen Teil des Sozialversicherungsrechts vom 6. Oktober 2000, 2ème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w:t>
      </w:r>
    </w:p>
    <w:p>
      <w:r>
        <w:rPr>
          <w:b/>
        </w:rPr>
        <w:t>E. 6</w:t>
      </w:r>
    </w:p>
    <w:p>
      <w:r>
        <w:t>En l’espèce, par décision du 10 juin 2016, le SPC a invité le recourant à lui transmettre, trimestriellement, un rapport médical détaillé concernant l’état de santé de son épouse et de le tenir informé de l’évolution de la procédure pendante par- devant l’OAI. Faisant suite à la demande du SPC, le recourant lui a transmis, en date du 11 décembre 2016, un certificat d’incapacité de travail à 100%. Par courrier du 2 mars 2017 et par rappels des 3 avril et 2 mai 2017, l’intimé a sollicité du recourant des informations complémentaires concernant l’incapacité de travail de son épouse et lui a demandé de transmettre un nouveau certificat d’incapacité de travail portant sur la période courant dès le 16 septembre 2016. Le rappel du 2 mai 2017 comprenait une mise en demeure et avec avertissement des conséquences juridiques. Par décision du 2, notifiée le 21 juin 2017, le SPC a statué en l’état et a pris en considération un gain potentiel. Force est toutefois de constater que le 21 mars 2017, le recourant et son épouse ont été mis en détention provisoire. Ils ont été libérés le 19 mai 2017. Certes, le courrier du 2 mars 2017 leur a été adressé avant leur incarcération. Il comportait toutefois un délai au 1er avril 2017, de sorte qu’il n’est pas surprenant que le recourant n’ait pas réagi immédiatement. De plus, ce courrier ne comportait ni mise en demeure ni avertissement des conséquences juridiques. Le rappel du 3 avril 2017 a été adressé au recourant alors qu’il était incarcéré. Il ne comportait pas non plus de mise en</w:t>
      </w:r>
    </w:p>
    <w:p>
      <w:r>
        <w:t>A/4826/2017 - 10/18 - demeure ou d’avertissement des conséquences juridiques d’une éventuelle absence de collaboration. Le deuxième rappel, daté du 2 mai 2017, a également été adressé au recourant alors qu’il était incarcéré. Le délai qu’il comportait expirait en outre encore pendant l’incarcération du recourant. A sa sortie, le 19 mai 2017, il apparaît plausible que sa principale préoccupation était de pouvoir récupérer ses enfants mineurs, qui avaient placés chez leur tante pendant son incarcération. Il paraît dès lors plausible que dans une telle situation, le recourant n’ait pas immédiatement réagi au deuxième rappel de l’intimé. En présence d’une détention provisoire et d’un placement d’enfants, il doit être considéré que le silence du recourant, à tout le moins dans les semaines qui ont immédiatement suivi sa libération, était excusable, de sorte que l’intimé ne pouvait pas statuer en l’état. Dans sa décision sur opposition du 2 novembre 2017, le SPC reproche également au recourant de ne pas avoir transmis de rapport médical en septembre 2016, décembre 2016 ni au printemps 2017. Force est toutefois de constater que le recourant a transmis, par courrier du 11 décembre 2016, un certificat d’incapacité de travail pour la période du 1er juillet au 15 septembre 2016, comme l’intimé le lui avait demandé et que celui-ci s’en est satisfait, dès lors qu’il n’a sollicité aucun autre rapport pour cette même période et qu’il a requis, par courriers et rappels des 2 mars, 3 avril et 2 mai 2017, un certificat d’incapacité de travail (et non un rapport détaillé) pour la période courant dès le 16 septembre 2016 uniquement. Par conséquent, dans de telles conditions, le SPC ne pouvait pas statuer en l’état du dossier, ce d’autant moins qu’il avait été informé des circonstances du silence avant même que la décision sur opposition ne soit rendue. Cela étant, dans la mesure où en cours de procédure, le recourant a transmis un rapport de la Dresse J_____ ainsi que le projet de décision et la décision de refus de l’OAI, il convient d’examiner si cela est suffisant pour considérer qu’une activité lucrative pouvait être exigée de l’épouse du recourant.</w:t>
      </w:r>
    </w:p>
    <w:p>
      <w:r>
        <w:rPr>
          <w:b/>
        </w:rPr>
        <w:t>E. 7</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Sur le plan cantonal, ont droit aux prestations complémentaires cantonales les personnes qui remplissent les conditions de l’art. 2 LPCC et dont le revenu annuel déterminant n'atteint pas le revenu minimum cantonal d'aide sociale applicable (art. 4 LPCC).</w:t>
      </w:r>
    </w:p>
    <w:p>
      <w:r>
        <w:t>A/4826/2017 - 11/18 -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c. A teneur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w:t>
      </w:r>
    </w:p>
    <w:p>
      <w:r>
        <w:rPr>
          <w:b/>
        </w:rPr>
        <w:t>E. 9</w:t>
      </w:r>
    </w:p>
    <w:p>
      <w:r>
        <w:t>a. En l’espèce, l’épouse du recourant, âgée de 30 ans au jour de la décision querellée, souffre d’une polyarthrite séronégative évoluant par poussées avec un syndrome inflammatoire et des arthrites au niveau des mains, des épaules et des genoux. En février 2017, elle a souhaité interrompre le traitement de Tocilizumab (Actemra®) qu’elle avait bien toléré et qui avait permis une régression des épisodes d’arthrite. L’interruption de ce traitement a entraîné une récidive de la maladie avec fièvre et poussée d’arthrite, avec la nécessité de réintroduire de la prednisone per os. Par la suite, l’épouse du recourant a indiqué qu’elle ne voulait plus être suivie et qu’elle ne souhaitait plus bénéficier de perfusions. Pour déterminer le gain potentiel, le SPC peut effectivement retenir la capacité de travail qu’aurait l’épouse du recourant si elle avait continué de se soumettre aux traitements adéquats et efficaces pour traiter sa maladie. Cela étant, il ressort du rapport de la Dresse J_____ du 11 janvier 2018 que les crises avaient régressé mais non qu’elles avaient disparu. Or, en matière d’assurance-invalidité, le Tribunal</w:t>
      </w:r>
    </w:p>
    <w:p>
      <w:r>
        <w:t>A/4826/2017 - 16/18 -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celle-ci devait bien au contraire tracer de manière précise l'évolution - passée et future - de la capacité de travail. A cet égard, le médecin devait examiner l'évolution temporelle de la capacité de travail, en tenant compte, eu égard à l'évolution fluctuante de la maladie, aussi bien des phases actives que des phases moins actives de celle-ci. En d'autres termes, il devait se prononcer sur l'évolution chronologique de la pathologie et apprécier, dans une perspective à long terme, le retentissement global que celle-ci avait sur la capacité de travail de l'assuré (arrêt du Tribunal fédéral 9C_153/2015 du 3 novembre 2015 consid. 3.2, 3.3 et 3.4). Par conséquent, dans le cas de l’épouse du recourant, c’est l’incapacité de travail moyenne entraînée par les poussées de polyarthrite rhumatoïde qui aurait dû être prise en considération. Les pièces médicales au dossier ne permettant pas de se prononcer sur ce point, le SPC aurait dû attirer l’attention du recourant sur le fait que les certificats qu’il a produits étaient dénués de force probante et l’inviter à requérir un rapport émanant d’un spécialiste contenant les renseignements nécessaires (voir dans ce sens l’arrêt du Tribunal fédéral 8C_722/2007 du 17 juillet 2008 consid. 3.3). Dans ce contexte, le projet de décision du 29 mars 2017 de l’OAI et la décision du 18 mai 2017 qui le confirme ne sont d’aucune utilité, dès lors qu’ils ne comportent aucune explication relative à la maladie de l’épouse de la recourante. On ne sait en outre pas pour quelle raison l’office n’a pas retenu de lien de causalité entre l’atteinte et la perte de gain. Au demeurant, pour l’OAI, c’est l’invalidité qui est pertinente alors qu’en matière de prestations complémentaires, une incapacité de travail même partielle suffit. Dans ces circonstances, il appartenait au SPC d’attirer l’attention du recourant sur le fait qu’il devait produire un rapport émanant d’un spécialiste et détaillant l’évolution de l’incapacité de travail, eu égard notamment aux poussées de la maladie de son épouse et, le cas échéant, de retenir une incapacité de travail moyenne, lors de la prise en considération d’un gain potentiel. b. Quand bien même aucune incapacité de travail ne devait être retenue, la capacité de travail de l’épouse n’est pas forcément entière. En effet, selon la jurisprudence tant fédérale que cantonale, lorsque le conjoint doit s’occuper d'un ou de plusieurs enfants non scolarisés et que le bénéficiaire de prestations complémentaires, invalide, ne peut pas aider pour les tâches ménagères et l’éducation des enfants,</w:t>
      </w:r>
    </w:p>
    <w:p>
      <w:r>
        <w:t>A/4826/2017 - 17/18 - aucun gain potentiel ne peut être pris en compte. Toutefois, dès que le plus jeune enfant à charge était scolarisé, il pouvait être exigé du conjoint qu’il prenne un emploi à mi-temps. Dans le cas d’espèce, l’épouse du recourant s’occupe de six enfants, âgés de 3 à 17 ans, le dernier enfant n’étant ainsi pas encore scolarisé. Le recourant prétend ne pas être en mesure d’aider son épouse dans les tâches ménagères compte tenu de son atteinte à la santé, la maladie de Crohn. Il n’étaye toutefois pas cette affirmation, son état de santé et les limitations fonctionnelles que sa maladie entraîne ne ressortant pas du dossier. En présence de six enfants, dont le plus jeune n’est pas encore scolarisé et d’un bénéficiaire invalide à 100%, il appartenait au SPC de se renseigner sur la capacité de celui-ci à aider son épouse dans la tenue du ménage. Le taux de l’activité professionnelle dépend ainsi des éventuelles limitations du recourant dans la tenue du ménage et l’éducation des enfants. c. Dans tous les cas, quand bien même le SPC aurait été légitimé à retenir une capacité de travail, même partielle, il lui appartenait d’appliquer une période d’adaptation de six mois avant de prendre en considération un gain potentiel et d’en déduire les frais de garde ainsi que les cotisations sociales. d. En résumé, pour toutes les raisons qui précèdent, l’intimé ne pouvait retenir un gain potentiel correspondant à un taux d’activité de 100%. La cause doit donc être renvoyée au SPC pour que celui-ci requière du recourant les informations médicales pertinentes pour pouvoir déterminer la capacité de travail moyenne de son épouse et sa propre capacité à aider celle-ci dans la tenue du ménage. Par ailleurs, en cas de prise en considération d’un gain potentiel, le SPC devra appliquer une période d’adaptation de six mois et ne retenir que le revenu net (après déduction des frais de garde et des cotisations sociales).</w:t>
      </w:r>
    </w:p>
    <w:p>
      <w:r>
        <w:rPr>
          <w:b/>
        </w:rPr>
        <w:t>E. 10</w:t>
      </w:r>
    </w:p>
    <w:p>
      <w:r>
        <w:t>Au vu de ce qui précède, le recours sera partiellement admis et la décision sur opposition du 2 novembre 2017 sera annulée. La cause sera renvoyée au SPC pour instruction complémentaire au sens des considérants.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A/4826/2017 - 18/18 -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