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ATAS/1012/2024 vom 28. November 2024</w:t>
      </w:r>
    </w:p>
    <w:p>
      <w:r>
        <w:t>GE Cour de justice, 2024-11-28, FR</w:t>
      </w:r>
    </w:p>
    <w:p>
      <w:r>
        <w:rPr>
          <w:b/>
        </w:rPr>
        <w:t xml:space="preserve">Quelle: </w:t>
      </w:r>
      <w:r>
        <w:t>https://mcp.opencaselaw.ch/entscheid/ge_gerichte_ATAS_1012_2024</w:t>
      </w:r>
    </w:p>
    <w:p>
      <w:r>
        <w:t>FR: GE_GERICHTE ATAS/1012/2024 du 28 novembre 2024</w:t>
      </w:r>
    </w:p>
    <w:p>
      <w:r>
        <w:t>IT: GE_GERICHTE ATAS/1012/2024 del 28 novembre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La procédure devant la Chambre de céans est régie par les dispositions de la LPGA et de la loi sur la procédure administrative, du 12 septembre 1985 (LPA – E 5 10).</w:t>
      </w:r>
    </w:p>
    <w:p>
      <w:r>
        <w:rPr>
          <w:b/>
        </w:rPr>
        <w:t>E. 1.4</w:t>
      </w:r>
    </w:p>
    <w:p>
      <w:r>
        <w:t>Le délai de recours est de trente jours (art. 56 LPGA; art. 62 al. 1 de la loi sur la procédure administrative du 12 septembre 1985 [LPA - E 5 10]). Interjeté dans la forme et le délai prévus par la loi, le recours est recevable.</w:t>
      </w:r>
    </w:p>
    <w:p>
      <w:r>
        <w:rPr>
          <w:b/>
        </w:rPr>
        <w:t>E. 2</w:t>
      </w:r>
    </w:p>
    <w:p>
      <w:r>
        <w:t>L’objet du litige porte le droit du recourant à une rente d’invalidité et/ou à un reclassement.</w:t>
      </w:r>
    </w:p>
    <w:p>
      <w:r>
        <w:rPr>
          <w:b/>
        </w:rPr>
        <w:t>E. 3.1</w:t>
      </w:r>
    </w:p>
    <w:p>
      <w:r>
        <w:t>Le 1er janvier 2022, les modifications de la LAI du 19 juin 2020 (développement continu de l’AI ; RO 2021 705) et celles du 3 novembre 2021 du règlement sur l’assurance-invalidité du 17 janvier 1961 (RAI – RS 831.201 ; RO 2021 706) sont entrées en vigueur.</w:t>
      </w:r>
    </w:p>
    <w:p>
      <w:r>
        <w:t>A/1942/2023 - 6/17 -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En l’occurrence, la décision querellée concerne un premier octroi de rente dont le droit – s’il était reconnu – naîtrait avant le 31 décembre 2021. En conséquence, les dispositions légales applicables seront citées, ci-après, dans leur ancienne teneur.</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w:t>
      </w:r>
    </w:p>
    <w:p>
      <w:r>
        <w:rPr>
          <w:b/>
        </w:rPr>
        <w:t>E. 4.2.1</w:t>
      </w:r>
    </w:p>
    <w:p>
      <w:r>
        <w:t>La reconnaissance de l’existence d’une atteinte à la santé psychique suppose la présence d’un diagnostic émanant d’un expert (psychiatre) et s’appuyant selon les règles de l’art sur les critères d’un système de classification reconnu, telle la classification internationale des maladies (ci-après : CIM) ou le DSM-IV (Diagnostic and Statiscal Manual ; ATF 143 V 409 consid. 4.5.2 ; 141 V 281 consid. 2.1 et 2.1.1 ; 130 V 396 consid. 5.3 et 6).</w:t>
      </w:r>
    </w:p>
    <w:p>
      <w:r>
        <w:rPr>
          <w:b/>
        </w:rPr>
        <w:t>E. 4.2.2</w:t>
      </w:r>
    </w:p>
    <w:p>
      <w:r>
        <w:t>Dans l’ATF 141 V 281, le Tribunal fédéral a revu et modifié en profondeur le schéma d’évaluation de la capacité de travail, respectivement de l’incapacité</w:t>
      </w:r>
    </w:p>
    <w:p>
      <w:r>
        <w:t>A/1942/2023 - 7/17 -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nombre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de plaintes très démonstratives laissant insensible l’expert, ainsi qu’en cas d’allégation de lourds handicaps malgré un environnement psycho-social intact (ATF 141 V 281 consid. 2.2.1 et 2.2.2 ; 132 V 65 consid. 4.2.2 ; arrêt du Tribunal fédéral 9C_16/2016 du 14 juin 2016 consid. 3.2).</w:t>
      </w:r>
    </w:p>
    <w:p>
      <w:r>
        <w:rPr>
          <w:b/>
        </w:rPr>
        <w:t>E. 4.2.3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4.2.4</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w:t>
      </w:r>
    </w:p>
    <w:p>
      <w:r>
        <w:t>A/1942/2023 - 8/17 -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4.2.5</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(arrêts du Tribunal fédéral 9C_101/2019 du 12 juillet 2019 consid. 4.3 et la référence ; 9C_724/2018 du 11 juillet 2019 consid. 7). En l’absence d’un diagnostic psychiatrique, une telle appréciation n’a pas non plus à être effectuée (arrêt du Tribunal fédéral 9C_176/2018 du 16 août 2018 consid. 3.2.2).</w:t>
      </w:r>
    </w:p>
    <w:p>
      <w:r>
        <w:rPr>
          <w:b/>
        </w:rPr>
        <w:t>E. 5.1</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t>A/1942/2023 - 9/17 - La quotité de la rente est déterminée en fonction de l’incapacité de gain au moment où le droit à la rente prend naissance (cf. art. 28 al. 1 let. c LAI). Le droit à la rente naît au plus tôt à l’échéance d’une période de six mois à compter de la date à laquelle l’assuré à fait valoir son droit aux prestations conformément à l’art. 29 al. 1 LPGA, mais pas avant le mois qui suit le 18ème anniversaire de l’assuré (art. 29 al. 1 LAI).</w:t>
      </w:r>
    </w:p>
    <w:p>
      <w:r>
        <w:rPr>
          <w:b/>
        </w:rPr>
        <w:t>E. 5.2.1</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tandis que le revenu d’invalide est estimé à un pourcentage plus bas, la différence en pour-cent entre les deux valeurs exprimant le taux d’invalidité.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(arrêt du Tribunal fédéral 9C_237/2016 du 24 août 2016 consid. 2.2 et les références).</w:t>
      </w:r>
    </w:p>
    <w:p>
      <w:r>
        <w:rPr>
          <w:b/>
        </w:rPr>
        <w:t>E. 5.2.2</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w:t>
      </w:r>
    </w:p>
    <w:p>
      <w:r>
        <w:t>A/1942/2023 - 10/17 - gain de l’assuré (arrêt du Tribunal fédéral des assurances I 654/00 du 9 avril 2001 consid. 1).</w:t>
      </w:r>
    </w:p>
    <w:p>
      <w:r>
        <w:rPr>
          <w:b/>
        </w:rPr>
        <w:t>E. 5.2.3</w:t>
      </w:r>
    </w:p>
    <w:p>
      <w:r>
        <w:t>On précisera également que le « marché du travail équilibré », auquel se réfèrent les art. 7 et 16 LPGA,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(ATF 110 V 273 consid. 4b).</w:t>
      </w:r>
    </w:p>
    <w:p>
      <w:r>
        <w:rPr>
          <w:b/>
        </w:rPr>
        <w:t>E. 6.1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6.3</w:t>
      </w:r>
    </w:p>
    <w:p>
      <w:r>
        <w:t>Sans remettre en cause le principe de la libre appréciation des preuves, le Tribunal fédéral des assurances a posé des lignes directrices en ce qui concerne la manière d’apprécier certains types d’expertises ou de rapports médicaux.</w:t>
      </w:r>
    </w:p>
    <w:p>
      <w:r>
        <w:t>A/1942/2023 - 11/17 -</w:t>
      </w:r>
    </w:p>
    <w:p>
      <w:r>
        <w:rPr>
          <w:b/>
        </w:rPr>
        <w:t>E. 6.3.1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6.3.2</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cf. arrêt du Tribunal fédéral 8C_162/2023 du 9 octobre 2023 consid. 2.3 et les références).</w:t>
      </w:r>
    </w:p>
    <w:p>
      <w:r>
        <w:rPr>
          <w:b/>
        </w:rPr>
        <w:t>E. 6.3.3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6.3.4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A/1942/2023 - 12/17 -</w:t>
      </w:r>
    </w:p>
    <w:p>
      <w:r>
        <w:rPr>
          <w:b/>
        </w:rPr>
        <w:t>E. 6.3.5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7</w:t>
      </w:r>
    </w:p>
    <w:p>
      <w:r>
        <w:t>Selon la jurisprudence, tant dans les cas de tableaux cliniques objectivables que non objectivables, le droit aux prestations de l’assurance-invalidité présuppose de la même manière une appréciation médicale compréhensible des effets de l’atteinte à la santé sur la capacité de travail et de gain. Des difficultés à clarifier des faits ou à fournir des preuves peuvent nécessiter la prise en compte – au besoin en se procurant des informations étrangères à l’anamnèse – d’autres domaines de la vie comme des comportements durant les loisirs ou des engagements familiaux. Si les effets d’une symptomatologie douloureuse objectivable ou non objectivable (par imagerie médicale) sur la capacité de travail restent vagues et indéterminés malgré des investigations consciencieuses et complètes et si les limitations ne peuvent pas être justifiées autrement que par les données subjectives fournies par la personne assurée, la preuve du fondement de la prétention n’est pas apportée et n’est pas rapportable. L’absence de preuve correspondante doit être supportée par la personne assurée (arrêt du Tribunal fédéral 9C_27/2015 du 26 août 2015 consid. 6.1).</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w:t>
      </w:r>
    </w:p>
    <w:p>
      <w:r>
        <w:t>A/1942/2023 - 13/17 - juge devrait statuer, dans le doute, en faveur de l’assuré (ATF 135 V 39 consid. 6.1 et la référence).</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122 V 157 consid. 1d).</w:t>
      </w:r>
    </w:p>
    <w:p>
      <w:r>
        <w:rPr>
          <w:b/>
        </w:rPr>
        <w:t>E. 9</w:t>
      </w:r>
    </w:p>
    <w:p>
      <w:r>
        <w:t>En l’espèce, la décision litigieuse, fondée sur l’avis du SMR du 29 août 2022, se ralliant lui-même aux conclusions du rapport d’expertise rhumato-psychiatrique du 29 juin 2022, retient, dès janvier 2020, une incapacité de travail de 20% dans l’activité habituelle, qualifiée par les experts d’adaptée. En l’absence d’incapacité de travail d’au moins 40% en moyenne durant une année, les conditions pour pouvoir prétendre une rente d’invalidité (art. 28 al. 1 let. b LAI) ont été niées. Le recourant conteste les conclusions des experts en invoquant l’avis de ses médecins traitants.</w:t>
      </w:r>
    </w:p>
    <w:p>
      <w:r>
        <w:rPr>
          <w:b/>
        </w:rPr>
        <w:t>E. 9.1</w:t>
      </w:r>
    </w:p>
    <w:p>
      <w:r>
        <w:t>Il convient dès lors d’examiner la valeur probante du rapport d’expertise bidisciplinaire, contestée par le recourant. La Cour de céans constate en premier lieu que ce rapport a été rendu en pleine connaissance du dossier, qu’il comporte une anamnèse et un status rhumatologique et psychiatrique fouillés, qu’il se fait l’écho des plaintes de l’assuré, que les diagnostics et les conclusions sont bien motivés et que le volet psychiatrique est articulé autour de la grille d’analyse structurée prévue par la jurisprudence. Aussi convient-il en principe d’en reconnaître la valeur probante. Il ressort en synthèse de ce rapport qu’en l’absence de limitation fonctionnelle d’ordre psychique, seuls les diagnostics relatifs aux atteintes somatiques ont été reconnus comme ayant des répercussions sur la capacité de travail. Sur le plan psychique, l’experte n’a retenu aucun diagnostic invalidant. Elle a précisé avoir noté une discordance entre les données objectives de l’examen clinique psychiatrique et les plaintes de l’assuré. En particulier, n’ont été relevés ni signes d’asthénie physique ou psychique, ni troubles de la concentration. Le diagnostic d’épisode dépressif moyen a donc été écarté en l’absence de critères suffisants. L’assuré est apparu autonome dans les actes de la vie quotidienne et ses plaintes sont apparues essentiellement liées aux difficultés sociales financières et familiales. Les ressources ont été qualifiées de bonnes. L'examen clinique a été décrit comme peu contributif sur le plan psychiatrique. Les plaintes de l’assuré</w:t>
      </w:r>
    </w:p>
    <w:p>
      <w:r>
        <w:t>A/1942/2023 - 14/17 - étaient peu précises et liées principalement aux douleurs et à ses difficultés sociales, familiales et financières. Sur ce plan, on notera que l’experte a expliqué les raisons qui l’amenaient à s’écarter du diagnostic d’épisode dépressif moyen retenu par le psychiatre traitant. D’ailleurs, le psychiatre traitant a lui aussi fait état, chez son patient, de ressources mobilisables. Il est par ailleurs intéressant de remarquer qu’il a expressément mentionné que c’était l’état de santé physique de son patient qui rendait sa réinsertion sur le marché de l’emploi difficile. En définitive, le psychiatre traitant ne s’est pas prononcé sur la capacité de travail de son patient. C’est lui qui a suggéré la mise en place d’une expertise à cette fin. En l’état, force est de constater que, sur le plan psychique, aucun élément objectif n’est amené qui pourrait faire douter des conclusions de l’expertise. S’agissant des atteintes somatiques, l’experte en a retenu plusieurs : des lombosciatalgies droites de longue date, augmentées depuis environ trois ans, des gonalgies de type mécanique apparues progressivement suite à des arthroscopies des genoux, des douleurs de l’épaule droite en augmentation progressive depuis quatre à cinq ans et des douleurs au pied droit, en charge principalement, depuis environ cinq ans. Il a été relaté que les douleurs lombaires étaient toujours présentes, constantes, surtout la journée, en position assise ou debout prolongée, que l’assuré se plaignait de gonalgies bilatérales à la marche avec des épisodes de lâchages ou de blocages et une tuméfaction occasionnelle, que les douleurs de l’épaule étaient également présentes selon les mouvements et que les douleurs nocturnes réveillaient l’assuré à plusieurs reprises durant la nuit ; il signalait aussi d’importantes douleurs au niveau du gros orteil du pied droit, à la marche et dans les chaussures. À l’examen clinique, l’experte a observé une obésité sévère, l’absence de troubles statiques, un discret syndrome vertébral lombaire, une épaule droite douloureuse et limitée dans tous les plans, un genou indolore avec un discret épanchement des deux côtés, un hallux valgus débutant au pied droit avec une mobilité de l’hallux limitée. Elle a noté qu’une imagerie par résonance magnétique lombaire effectuée en février 2021 avait montré une discopathie débutante L4-L5 et L5-S1 sans conflit disco-radiculaire évident et des sacro-iliaques normales. Une IRM de l’épaule droite pratiquée en septembre 2020 avait décrit une rupture complète de la coiffe et un remaniement important du trochiter. En résumé, l’experte a retenu des lombosciatalgies droites avec un discret syndrome vertébral lombaire, des signes de périarthrite de la hanche droite et un status neurologique normal. L’IRM lombaire était non relevante. Les douleurs de l’épaule droite étaient en relation avec une rupture massive de la coiffe des rotateurs objectivée en 2021. Les gonalgies étaient de type mécanique, probablement en relation avec des troubles dégénératifs. Les douleurs à la marche au pied droit étaient dues à un hallux valgus débutant.</w:t>
      </w:r>
    </w:p>
    <w:p>
      <w:r>
        <w:t>A/1942/2023 - 15/17 - Force est donc de constater que l’experte a donc tenu compte de toutes les atteintes somatiques diagnostiquées par les médecins traitants. Elle en a également tiré les conséquences en termes de limitations fonctionnelles : assuré limité dans la station debout ou assise prolongée, dans le port de charges et les déplacements fréquents, ainsi que pour les mouvements répétés ou en élévation du membre supérieur droit. Dans ces conditions, la conclusion selon laquelle un travail de bureau dans les assurances serait une activité adaptée n’apparaît pas critiquable. Il a été tenu compte tant des atteintes somatiques que de leurs conséquences pour évaluer la capacité de travail dans cette activité à 100%, avec une diminution de rendement de 20% pour tenir compte des limitations (changements fréquents de positions surtout). Le recourant admet d’ailleurs lui-même que l’experte rhumatologue a retenu les mêmes limitations fonctionnelles que son médecin traitant tout en tirant des conclusions divergentes quant à sa capacité de travail. À l’instar de l’intimé, la Cour de céans constate que le recourant n’apporte aucun élément objectivement vérifiable de nature clinique ou diagnostique qui aurait été ignoré dans le cadre de l’expertise et qui serait suffisamment pertinent pour remettre en cause le bien-fondé des conclusions des expertes ou établir le caractère incomplet de leur rapport. Il ne suffit pas de soutenir que les expertes auraient dû conclure différemment. Le fait que les médecins traitants aient une appréciation différente n’est pas en soi déterminant selon la jurisprudence. Il résulte de ce qui précède que les arguments invoqués par le recourant ne permettent pas de mettre en doute les conclusions du rapport d’expertise. Quant au fait que l’intimé n’ait pas sollicité l’avis des médecins traitants, il n’est pas pertinent : l’assuré a été informé des intentions de l’intimé par le biais de la communication du projet de décision de l’OAI, il a eu l’occasion d’accéder à son dossier et la possibilité de solliciter lui-même ses médecins, ce qu’il a d’ailleurs fait. Partant, il convient de retenir qu’il est établi, au degré de la vraisemblance prépondérante requise, que les atteintes présentées par l’intéressé ont réduit sa capacité de travail de 20% à compter de janvier 2021. Ce taux d’incapacité de travail correspond au degré d’invalidité dans la mesure où l’activité habituelle a été qualifiée d’adaptée par les expertes. Il est dès lors insuffisant pour ouvrir droit à une rente d’invalidité.</w:t>
      </w:r>
    </w:p>
    <w:p>
      <w:r>
        <w:rPr>
          <w:b/>
        </w:rPr>
        <w:t>E. 10</w:t>
      </w:r>
    </w:p>
    <w:p>
      <w:r>
        <w:t>Le recourant conclut également à l’octroi d’une mesure de reclassement.</w:t>
      </w:r>
    </w:p>
    <w:p>
      <w:r>
        <w:rPr>
          <w:b/>
        </w:rPr>
        <w:t>E. 10.1</w:t>
      </w:r>
    </w:p>
    <w:p>
      <w:r>
        <w:t>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w:t>
      </w:r>
    </w:p>
    <w:p>
      <w:r>
        <w:t>A/1942/2023 - 16/17 -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w:t>
      </w:r>
    </w:p>
    <w:p>
      <w:r>
        <w:rPr>
          <w:b/>
        </w:rPr>
        <w:t>E. 10.2</w:t>
      </w:r>
    </w:p>
    <w:p>
      <w:r>
        <w:t>En l’occurrence, l’activité habituelle de courtier en assurances ayant été jugée adaptée, un reclassement ne serait pas susceptible de maintenir ou améliorer sensiblement la capacité de gain de l’assuré. C’est le lieu de rappeler par ailleurs que le droit à une mesure de réadaptation présuppose qu'elle soit appropriée au but de la réadaptation poursuivi par l'assurance-invalidité, tant objectivement – en ce qui concerne la mesure – que sur le plan subjectif –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9C_59/2017 du 21 juin 2017 consid. 3.3 et les références), une telle procédure préalable n'étant requise que si une mesure de réadaptation a été commencée et qu'il est question de l'interrompre (cf. arrêt du Tribunal fédéral 9C_783/2015 du 7 avril 2016 consid. 4.8.2 et les références). En l’occurrence, l’aptitude subjective de réadaptation du recourant ne paraît pas évidente, étant rappelé qu’il n’a plus cherché à exercer une activité lucrative depuis son retour en suisse, en février 2018. Eu égard à ce qui précède, le droit à une mesure professionnelle sous la forme d’un reclassement n’est pas ouvert, pas plus que le droit à une rente.</w:t>
      </w:r>
    </w:p>
    <w:p>
      <w:r>
        <w:rPr>
          <w:b/>
        </w:rPr>
        <w:t>E. 11</w:t>
      </w:r>
    </w:p>
    <w:p>
      <w:r>
        <w:t>La décision de négation de prestations de l’intimé apparaît ainsi bien fondée. Le recours est rejeté. Bien que la procédure ne soit pas gratuite en matière d’assurance-invalidité (cf. art. 69 al. 1bis LAI), il y a lieu en l’espèce de renoncer à la perception d’un émolument, le recourant étant au bénéfice de l’assistance juridique (art. 12 al. 1 du règlement sur les frais, émoluments et indemnités en procédure administrative du 30 juillet 1986 – RFPA – E 5 10.03).</w:t>
      </w:r>
    </w:p>
    <w:p>
      <w:r>
        <w:t>***</w:t>
      </w:r>
    </w:p>
    <w:p>
      <w:r>
        <w:t>A/1942/2023 - 17/17 -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