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ATAS/1012/2020 vom 26. Oktober 2020</w:t>
      </w:r>
    </w:p>
    <w:p>
      <w:r>
        <w:t>GE Cour de justice, 2020-10-26, FR</w:t>
      </w:r>
    </w:p>
    <w:p>
      <w:r>
        <w:rPr>
          <w:b/>
        </w:rPr>
        <w:t xml:space="preserve">Quelle: </w:t>
      </w:r>
      <w:r>
        <w:t>https://mcp.opencaselaw.ch/entscheid/ge_gerichte_ATAS_1012_2020</w:t>
      </w:r>
    </w:p>
    <w:p>
      <w:r>
        <w:t>FR: GE_GERICHTE ATAS/1012/2020 du 26 octobre 2020</w:t>
      </w:r>
    </w:p>
    <w:p>
      <w:r>
        <w:t>IT: GE_GERICHTE ATAS/1012/2020 del 26 ottobre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en temps utile, le recours est recevable (art. 60 LPGA).</w:t>
      </w:r>
    </w:p>
    <w:p>
      <w:r>
        <w:rPr>
          <w:b/>
        </w:rPr>
        <w:t>E. 3</w:t>
      </w:r>
    </w:p>
    <w:p>
      <w:r>
        <w:t>Le litige porte sur le droit du recourant à une rente d’invalidité.</w:t>
      </w:r>
    </w:p>
    <w:p>
      <w:r>
        <w:rPr>
          <w:b/>
        </w:rPr>
        <w:t>E. 4</w:t>
      </w:r>
    </w:p>
    <w:p>
      <w:r>
        <w:t>Est réputée invalidité, l'incapacité de gain totale ou partielle présumée permanente ou de longue durée, résultant d'une infirmité congénitale, d'une maladie ou d'un</w:t>
      </w:r>
    </w:p>
    <w:p>
      <w:r>
        <w:t>A/624/2020 - 7/12 -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w:t>
      </w:r>
    </w:p>
    <w:p>
      <w:r>
        <w:t>A/624/2020 - 8/12 -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t>A/624/2020 - 9/12 - e.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9</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w:t>
      </w:r>
    </w:p>
    <w:p>
      <w:r>
        <w:t>A/624/2020 - 10/12 -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rPr>
          <w:b/>
        </w:rPr>
        <w:t>E. 10</w:t>
      </w:r>
    </w:p>
    <w:p>
      <w:r>
        <w:t>En l’occurrence, l’intimé a considéré que le recourant présentait une capacité de travail totale depuis le 3 mars 2018 dans une activité adaptée à ses limitations fonctionnelles, telles que fixées par l’expert F______ (pas de mouvement répétés de flexion-extension du tronc, pas d’attitude prolongée en porte-à-faux, pas de port de charges répétés au-delà de 10kg - charges légères - pas de position assise ou debout prolongée au-delà de 45 minutes ; pas de position debout statique au-delà de 20 minutes. Genoux : pas de travail accroupi ou assis prolongé, pas de montées/descentes d’escaliers répétées), de sorte que son degré d’invalidité était nul. Le recourant conteste la décision de l’intimé du 14 janvier 2020, au motif que ses médecins traitants, les Drs C______ et E______ attestaient de son incapacité à exercer son activité habituelle de parqueteur, peintre, nettoyeur (avis du 6 février 2020). Or, l’intimé a retenu un revenu d’invalide fondé sur une activité exigible adaptée aux limitations fonctionnelles du recourant, et celui-ci n’a fourni aucun document médical remettant en cause une telle exigibilité. En effet, la Dresse C______ a même précisé les 3 mars 2018 et 13 juillet 2018 que la capacité de travail du recourant était totale dans toute activité adaptée (pas de station debout longtemps, de longs trajets à la marche, de port de charges, de fléchissement du tronc et d’accroupissement, ainsi que de travail avec bras et tête en élévation), soit en respectant des limitations fonctionnelles qui rejoignent celles établies par l’expert F______. Quant au Dr E______, il a mentionné des limitations fonctionnelles d’effort prolongés, de port de charges et de montées et descente d’escaliers, lesquels ont été également été reprises par le Dr F______. Au vu de ce qui précède, aucun élément médical ne permet de mettre en doute la conclusion du Dr F______ quant à la présence d’une capacité de travail totale du recourant dans une activité adaptée à ses limitations fonctionnelles. Par ailleurs, le calcul du degré d’invalidité, fondé sur un revenu avec et sans invalidité évalué selon l’ESS, n’est pas contesté par le recourant, tout comme le refus de mesure professionnelle.</w:t>
      </w:r>
    </w:p>
    <w:p>
      <w:r>
        <w:rPr>
          <w:b/>
        </w:rPr>
        <w:t>E. 11</w:t>
      </w:r>
    </w:p>
    <w:p>
      <w:r>
        <w:t>Partant, le recours ne peut qu’être rejeté.</w:t>
      </w:r>
    </w:p>
    <w:p>
      <w:r>
        <w:t>A/624/2020 - 11/12 - Au vu du sort du recours, il y a lieu de condamner le recourant au paiement d'un émolument de CHF 200.- (art. 69 al. 1 bis LAI).</w:t>
      </w:r>
    </w:p>
    <w:p>
      <w:r>
        <w:t>A/624/2020 - 12/12 -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