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ATAS/1012/2018 vom 19. Oktober 2018</w:t>
      </w:r>
    </w:p>
    <w:p>
      <w:r>
        <w:t>GE Cour de justice, 2018-10-19, FR</w:t>
      </w:r>
    </w:p>
    <w:p>
      <w:r>
        <w:rPr>
          <w:b/>
        </w:rPr>
        <w:t xml:space="preserve">Quelle: </w:t>
      </w:r>
      <w:r>
        <w:t>https://mcp.opencaselaw.ch/entscheid/ge_gerichte_ATAS_1012_2018</w:t>
      </w:r>
    </w:p>
    <w:p>
      <w:r>
        <w:t>FR: GE_GERICHTE ATAS/1012/2018 du 19 octobre 2018</w:t>
      </w:r>
    </w:p>
    <w:p>
      <w:r>
        <w:t>IT: GE_GERICHTE ATAS/1012/2018 del 19 ottobre 2018</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w:t>
      </w:r>
    </w:p>
    <w:p>
      <w:r>
        <w:t>A/3915/2017 - 7/14 -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 défenderesse n’est pas contestée. Quant aux demanderesses, elles entrent dans la catégorie des assureurs au sens de la LAMal. Par ailleurs, le cabinet de la défenderesse, qui a a priori cessé d’exercer à la charge de l’assurance-maladie obligatoire depuis le 1er octobre 2017, était installé à titre permanent dans le canton de Genève durant l’année statistique litigieuse 2016. Partant, le tribunal de céans est compétent pour juger du cas d’espèce.</w:t>
      </w:r>
    </w:p>
    <w:p>
      <w:r>
        <w:rPr>
          <w:b/>
        </w:rPr>
        <w:t>E. 2</w:t>
      </w:r>
    </w:p>
    <w:p>
      <w:r>
        <w:t>La demande respecte les conditions de forme prescrites par l'art. 45 al. 1 de la loi d'application de la loi fédérale sur l'assurance-maladie du 29 mai 1997 (LaLAMal ; RS J 3 05) et les articles 64 al. 1 et 65 de la loi cantonale sur la procédure administrative du 12 septembre 1985 (LPA ; RSG E 5 10) applicable par renvoi de l'art. 45 al. 4 LaLAMal, étant précisé que les dispositions de la loi fédérale du 6 octobre 2000 sur la partie générale du droit des assurances sociales (LPGA ; RS 830.1) ne s'appliquent pas à la procédure auprès du tribunal arbitral cantonal (art. 1 al. 2 let. e LAMal). La demande est dès lors recevable.</w:t>
      </w:r>
    </w:p>
    <w:p>
      <w:r>
        <w:rPr>
          <w:b/>
        </w:rPr>
        <w:t>E. 3</w:t>
      </w:r>
    </w:p>
    <w:p>
      <w:r>
        <w:t>Préalablement, il convient de rejeter la nouvelle demande de report d’audience formulée par la défenderesse par courrier recommandé du 13 juin 2018, dans la mesure où cette requête apparaît dilatoire. En effet, en postant cette requête le lendemain (14 juin) seulement, soit la veille de l’audience du 15 juin, la défenderesse ne pouvait ignorer que le tribunal n’aurait ainsi pas été en mesure, le cas échéant, d’annuler ladite audience à temps. La défenderesse a du reste procédé avec la même désinvolture en demandant, par courrier du 13 décembre 2017, le report de l’audience de conciliation du 15 décembre suivant. L’intéressée n’a pas non plus justifié son absence lors de l’audience du 23 mars 2018. Elle n’a pas davantage donné suite à l’invitation, répétée, du tribunal de désigner son arbitre, contraignant celui-ci à lui en nommer un d’office. Sans compter que l’attestation médicale du 13 juin 2018, qui a apparemment été établie en l’absence de la patiente qui se trouvait à l’étranger, ne permet pas de comprendre, vu son caractère succinct, en quoi l’affection médicale dont la défenderesse est atteinte l’aurait empêchée de prendre l’avion à son retour de l’étranger. Enfin, la défenderesse a déclaré elle- même qu’elle ne souhaitait pas « prendre position contre les accusations faites à (son) encontre », tout en se limitant néanmoins à affirmer que celles-ci était « infondées » (courrier du 7 février 2018). Dans ces conditions, on doit admettre que le refus du tribunal de convoquer une nouvelle fois une audience de comparution personnelle ne porte pas atteinte au droit d’être entendue de la</w:t>
      </w:r>
    </w:p>
    <w:p>
      <w:r>
        <w:t>A/3915/2017 - 8/14 - défenderesse, étant au demeurant rappelé que l’art. 29 al. 2 Cst. ne confère pas le droit d'être entendu oralement par l'autorité (ATF 134 I 140 consid. 5.3).</w:t>
      </w:r>
    </w:p>
    <w:p>
      <w:r>
        <w:rPr>
          <w:b/>
        </w:rPr>
        <w:t>E. 4</w:t>
      </w:r>
    </w:p>
    <w:p>
      <w:r>
        <w:t>Le litige porte sur la question de savoir si la restitution de CHF 76'284.- réclamée par les différentes caisses-maladie concernées, à raison de traitements jugés non économiques prodigués par la défenderesse et remboursés par l’assurance obligatoire des soins en 2016, est fondée. 5.1 De jurisprudence constante, le droit de demander la restitution s'éteint un an après le moment où l'assureur-maladie a eu connaissance du fait, mais au plus tard cinq ans après le versement des prestations (cf. art. 25 al. 2 LPGA). Le délai de péremption commence à courir au moment où la statistique des factureurs (RSS ; Rechnungssteller-Statistik) de Santésuisse est portée à la connaissance des assureurs-maladie (arrêt du Tribunal fédéral 9C_968/2009 du 15 décembre 2010, consid. 2.3 non publié à l'ATF 136 V 415 ; ATF 103 V 145 consid. 4). Pour préserver le délai, il suffit de déposer une demande devant l'autorité de conciliation prévue par le droit cantonal ou les conventions tarifaires ou devant le Tribunal arbitral cantonal au sens de l'art. 89 al. 1 LAMal. Si la demande de restitution a été formulée dans les délais, la péremption est définitivement exclue (arrêt du Tribunal fédéral 9C_821/2012 du 12 avril 2013 consid. 4.2). Là où il n'existe pas de procédure de conciliation obligatoire et où, par conséquent, une demande doit être déposée directement devant un tribunal, le délai de péremption est sauvegardé par un acte préalable par lequel le créancier (assureur- maladie) fait valoir de manière appropriée sa créance (en restitution des prestations) contre le débiteur (fournisseur de prestations) (ATF 133 V 579 consid. 4). Le canton de Genève connaît une tentative obligatoire de conciliation préalable par le dépôt d’une requête devant le Tribunal arbitral, si bien qu’un acte du droit de la poursuite ou une simple missive adressée au fournisseur de prestations ne permet pas, a contrario, de sauvegarder le délai de péremption (cf. arrêt du Tribunal fédéral 9C_778/2016 du 12 décembre 2017 consid. 5 précité). S’agissant du point de départ du délai de péremption d'une année, le Tribunal fédéral a jugé qu’il n’était a priori pas arbitraire d’admettre que la date à laquelle les caisses ont eu connaissance des statistiques des factureurs correspond à celle de la "préparation des données" figurant sur ces mêmes statistiques (arrêt du Tribunal fédéral 9C_968/2009 précité consid. 2.3). 5.2 In casu, Santésuisse a déposé le 20 septembre 2017 sa requête devant le tribunal de céans, tendant au paiement de CHF 76'284.- pour l’année statistique 2016, en se fondant sur les statistiques pour 2016, préparées le 17 juillet 2017. Dans l’intervalle, elle a renoncé à réclamer le remboursement de CHF 108'437.- pour l’année statistique 2015. Force est ainsi d’admettre que les demanderesses ont fait valoir en temps utile leur créance en restitution litigieuse, au sens de la jurisprudence précitée.</w:t>
      </w:r>
    </w:p>
    <w:p>
      <w:r>
        <w:t>A/3915/2017 - 9/14 -</w:t>
      </w:r>
    </w:p>
    <w:p>
      <w:r>
        <w:rPr>
          <w:b/>
        </w:rPr>
        <w:t>E. 5</w:t>
      </w:r>
    </w:p>
    <w:p>
      <w:r>
        <w:t>Il convient d'examiner maintenant si, comme le soutiennent les demanderesses, la facturation de la défenderesse pour l’année 2016 litigieuse relève de polypragmasie. 6.1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L'obligation de restitution fondée sur l'art. 56 al. 2 LAMal ne peut englober que les coûts directement liés à la pratique du médecin (y compris les médicaments délivrés par lui ; ATF 137 V 43 consid. 2.5.1 - 2.5.5). L'exclusion des coûts indirects de l'obligation de restitution ne modifie en rien la pratique selon laquelle l'examen du caractère économique de la pratique médicale doit se faire sur la base d'une vision d'ensemble (au sens de l'ATF 133 V 37). En effet, une part plus importante que la moyenne de prestations directement délivrées par le médecin par rapport aux prestations déléguées peut s'expliquer par une pratique médicale spécifique pouvant justifier des surcoûts (ATF 137 V 43 consid. 2.5.6). Ainsi,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37 consid. 5.3.2 à 5.3.5). 7.2 Pour établir l’existence d’une polypragmasie (Überarztung), le Tribunal fédéral admet le recours à trois méthodes : la méthode statistique, la méthode analytique ou une combinaison des deux méthodes (ATFA non publié K 6/06 du 9 octobre 2006, A/2819/2006 consid. 4.1 ; ATFA non publié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 K 6/06 du 9 octobre 2006 consid. 4.1 non publié in ATF 133 V 37; arrêt K 150/03 du 18 mai 2004 consid. 6.1 non publié in ATF 130 V 377; arrêt du Tribunal fédéral 9C_570/2015 du 6 juin 2016 consid. 3.3).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 Il y a donc polypragmasie</w:t>
      </w:r>
    </w:p>
    <w:p>
      <w:r>
        <w:t>A/3915/2017 - 10/14 -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 arrêt K 6/06 du 9 octobre 2006 consid. 4.2, non publié in ATF 133 V 37 ; arrêt 9C_968/2009 du 15 décembre 2010 consid. 5.3 non publié aux ATF 136 V 415 et arrêt du Tribunal fédéral 9C_778/2016 du 12 décembre 2017 consid. 7.1).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 limite de tolérance (RAMA 1988 n° K 761 p. 92). La marge de tolérance ne doit pas dépasser l'indice de 130 afin de ne pas vider la méthode statistique de son sens et doit se situer entre les indices de 120 et de 130 (ATFA non publié K 6/06 du 9 octobre 2006, consid. 4.2; ATFA non publié K 150/03 du 18 mai 2004, consid. 6.1 ; SVR 1995 KV p. 125). La marge de tolérance sert à tenir compte des particularités et des différences entre cabinets médicaux ainsi que des imperfections de la méthode statistique en neutralisant certaines variations statistiques (arrêt du Tribunal fédéral 9C_167/2010 du 14 janvier 2011 consid. 3.3).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arrêts du Tribunal fédéral 9C_205/2008 du 19 décembre 2008 et 9C_649/2007 du 23 mai 2008 ;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on rappellera que cette méthode permet un examen anonyme, standardisé, large, rapide et continu de l'économicité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 une clientèle composée d’un nombre plus élevé que la moyenne de patients nécessitant souvent des soins</w:t>
      </w:r>
    </w:p>
    <w:p>
      <w:r>
        <w:t>A/3915/2017 - 11/14 -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 ou encore l'emploi d'appareils spéciaux, puissants et coûteux (arrêt du Tribunal fédéral 9C_121/2012 du 22 août 2012 consid. 3.2.2). Pour une énumération des particularités justifiant une telle pratique, voir aussi arrêts du Tribunal fédéral des assurances K 150/03 du 18 mai 2004 consid. 6.3, non publié in ATF 130 V 377; K 9/99 du 29 juin 2001 consid. 6c). 7.3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 données du pool de données Santésuisse ») (ATF 136 V 415 consid. 6.3.2 et 6.3.3). 7.4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 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w:t>
      </w:r>
    </w:p>
    <w:p>
      <w:r>
        <w:t>A/3915/2017 - 12/14 - 16 juin 2004, consid. 6 et 7 ; ATFA non publié K 130/06 du 16 juillet 2007, consid. 5; JUNOD, op. cit., p. 138 ; ATAS/1118/2012 précité, consid. 11e). 7.5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8</w:t>
      </w:r>
    </w:p>
    <w:p>
      <w:r>
        <w:t>En matière de polypragmasie, le Tribunal arbitral établit les faits d'office et apprécie librement les preuves (art. 45 al. 3 LaLAMal).</w:t>
      </w:r>
    </w:p>
    <w:p>
      <w:r>
        <w:rPr>
          <w:b/>
        </w:rPr>
        <w:t>E. 9</w:t>
      </w:r>
    </w:p>
    <w:p>
      <w:r>
        <w:t>En l’occurrence, afin de s’opposer aux prétentions des demanderesses pour l’année litigieuse 2016, la défenderesse s’est limitée à faire valoir que les « accusations » formulées contre elle était « infondées », sans préciser en quoi la nature particulière de sa patientèle engendrerait dans son cas personnel des coûts plus élevés que la normale. En particulier, elle n’a pas mentionné qu'elle ferait usage de méthodes médicales particulières ou qu'elle aurait eu recours à du matériel médical spécifique. Rien n'indique par ailleurs que les pathologies traitées différeraient fondamentalement de celles de ses collègues figurant dans son groupe de comparaison. On ne peut pas non plus affirmer que les coûts directs engendrés par la recourante (indice de 214) seraient compensés par des coûts indirects moindres (indices de 119). Faute d'arguments concrets plaidant en faveur de l'application de la méthode analytique, il y a donc lieu de confirmer l’application de la méthode statistique en l’espèce.</w:t>
      </w:r>
    </w:p>
    <w:p>
      <w:r>
        <w:rPr>
          <w:b/>
        </w:rPr>
        <w:t>E. 10</w:t>
      </w:r>
    </w:p>
    <w:p>
      <w:r>
        <w:t>Dans la mesure où le dossier ne contient aucun élément permettant de justifier un coût statistique moyen plus élevé et, partant, l'admission d'une marge supplémentaire ajoutée à la marge de tolérance de 130% retenue par Santésuisse en l’occurrence, il n’y a pas lieu de s’écarter du montant réclamé de CHF 76'284.- à titre de dépassement en coûts directs pour 2016, lequel a été calculé correctement, compte tenu d’un indice de 214 et d’un chiffre d’affaires de CHF 194'342.- réalisé cette année-là [194'342 - (194'342 x 130 : 214)].</w:t>
      </w:r>
    </w:p>
    <w:p>
      <w:r>
        <w:rPr>
          <w:b/>
        </w:rPr>
        <w:t>E. 11</w:t>
      </w:r>
    </w:p>
    <w:p>
      <w:r>
        <w:t>Il conviendra dès lors de condamner la défenderesse à restituer CHF 76'284.- aux demanderesses pour l’année 2016.</w:t>
      </w:r>
    </w:p>
    <w:p>
      <w:r>
        <w:t>A/3915/2017 - 13/14 -</w:t>
      </w:r>
    </w:p>
    <w:p>
      <w:r>
        <w:rPr>
          <w:b/>
        </w:rPr>
        <w:t>E. 12</w:t>
      </w:r>
    </w:p>
    <w:p>
      <w:r>
        <w:t>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w:t>
      </w:r>
    </w:p>
    <w:p>
      <w:r>
        <w:rPr>
          <w:b/>
        </w:rPr>
        <w:t>E. 13</w:t>
      </w:r>
    </w:p>
    <w:p>
      <w:r>
        <w:t>Au vu du sort du litige, l'émolument, fixé à CHF 1'500.- et les frais du tribunal par CHF 2'905.- seront mis à la charge de la défenderesse (art. 46 al. 1 LaLAMal).</w:t>
      </w:r>
    </w:p>
    <w:p>
      <w:r>
        <w:t>A/3915/2017 - 14/14 -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