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ATAS/1012/2015 vom 23. Dezember 2015</w:t>
      </w:r>
    </w:p>
    <w:p>
      <w:r>
        <w:t>GE Cour de justice, 2015-12-23, FR</w:t>
      </w:r>
    </w:p>
    <w:p>
      <w:r>
        <w:rPr>
          <w:b/>
        </w:rPr>
        <w:t xml:space="preserve">Quelle: </w:t>
      </w:r>
      <w:r>
        <w:t>https://mcp.opencaselaw.ch/entscheid/ge_gerichte_ATAS_1012_2015</w:t>
      </w:r>
    </w:p>
    <w:p>
      <w:r>
        <w:t>FR: GE_GERICHTE ATAS/1012/2015 du 23 décembre 2015</w:t>
      </w:r>
    </w:p>
    <w:p>
      <w:r>
        <w:t>IT: GE_GERICHTE ATAS/1012/2015 del 23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A/3284/2014 - 10/15 - En l'espèce, la décision litigieuse du 14 octobre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Interjeté dans les forme et délai légaux (art. 56 à 60 LPGA), le recours est recevable.</w:t>
      </w:r>
    </w:p>
    <w:p>
      <w:r>
        <w:rPr>
          <w:b/>
        </w:rPr>
        <w:t>E. 4</w:t>
      </w:r>
    </w:p>
    <w:p>
      <w:r>
        <w:t>Le litige a pour objet le droit de la recourante au maintien d’une rente d’invalidité au-delà du 1er décembre 2014, plus particulièrement la question de savoir si son état de santé s’est amélioré depuis l’octroi initial d’une demi-rente, en octobre 2005 - confirmé en septembre 2007.</w:t>
      </w:r>
    </w:p>
    <w:p>
      <w:r>
        <w:rPr>
          <w:b/>
        </w:rPr>
        <w:t>E. 5</w:t>
      </w:r>
    </w:p>
    <w:p>
      <w:r>
        <w:t>Mais il convient de se pencher, préalablement, sur le grief de violation du droit d’être entendue invoqué par la recourante, qui reproche à l’intimé d’avoir rendu sa décision sans donner suite à sa demande de prolongation de délai pour produire des pièces médicales. Son reproche est cependant infondé dans la mesure où l’art. 73ter al. 1 du règlement du 17 janvier 1961 sur l’assurance-invalidité du 17 janvier 1961 (RAI - RS 831.201) prescrit aux parties un délai de 30 jours pour faire part à l’OAI de leurs observations quant au projet de décision prévu par l’art. 57a LAI. Il s’agit là d’un délai légal qui, comme tel, ne peut être prolongé (cf. art. 40 al. 1 LPGA). L’intimé ne saurait donc se voir reprocher d’avoir rendu sa décision formelle sans donner suite à la demande de l’assurée.</w:t>
      </w:r>
    </w:p>
    <w:p>
      <w:r>
        <w:rPr>
          <w:b/>
        </w:rPr>
        <w:t>E. 6</w:t>
      </w:r>
    </w:p>
    <w:p>
      <w:r>
        <w:t>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t>A/3284/2014 - 11/15 -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w:t>
      </w:r>
    </w:p>
    <w:p>
      <w:r>
        <w:t>A/3284/2014 - 12/15 -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il convient d'examiner si la situation de la recourante a subi un changement important propre à influencer son degré d'invalidité, et donc son droit aux prestations, depuis septembre 2009, date à laquelle l’intimé a confirmé son droit à une demi-rente d’invalidité. Il convient de rappeler que le droit à une demi-rente d’invalidité a été reconnu à l’assurée principalement en raison d’un état dépressif récurrent moyen à sévère, diagnostiqué par le Dr C______, dont il convient de relever qu’il est le psychiatre traitant de la recourante depuis juin 2002. Or, dans le cadre de la révision initiée fin 2012, ce médecin a fait état d’une amélioration de l’état de santé de sa patiente, qu’il a confirmée et expliquée en février 2013, indiquant qu’elle avait recouvré une capacité de 70% en mai 2012 et de 80% en octobre 2012. La recourante conteste ce point de vue en faisant valoir que son psychiatre traitant se serait fondé sur une prémisse erronée, à savoir sa prétendue participation à l’entreprise de son époux. Elle soutient qu’au contraire, il y a eu aggravation significative de son état de santé psychique en décembre 2013. b. La Cour de céans constate que l’évaluation du Dr C______ ne se fonde pas seulement sur la reprise d’une activité par sa patiente. Le médecin a constaté que le fait, pour l’assurée, de fréquenter le commerce de son mari avait eu pour</w:t>
      </w:r>
    </w:p>
    <w:p>
      <w:r>
        <w:t>A/3284/2014 - 13/15 - conséquence une amélioration importante de son état psychique et lui avait permis de retrouver beaucoup de confiance en elle, au point que l’état dépressif était en voie de rémission complète. Il en voulait pour preuve la disparition des symptômes dépressifs - en dehors d’une fatigue résiduelle. Les conclusions du psychiatre traitant reposaient donc sur des éléments objectifs et sur ses propres observations cliniques. Elles sont d’autant plus convaincantes que c’est ce même médecin qui, par le passé, a jugé l’état dépressif de la recourante invalidant. Il a donc pu juger des différences cliniques avec 2003 et 2009. Quant au rapport du Dr D______, produit par la recourante, il ne permet pas d’infirmer les observations du Dr C______, bien au contraire, puisqu’il en ressort que l’épisode dépressif grave intervenu en décembre 2014 - postérieurement à la décision litigieuse - s’est vite amendé (il est redevenu moyen début janvier 2015). Certes, ce médecin évalue depuis lors la capacité de travail de sa patiente à 50%, mais sans motiver sa position. Il en découle qu’on ne saurait reprocher à l’intimé d’avoir considéré, à l’instar du psychiatre traitant, que l’état de l’assurée s’était amélioré au point de lui permettre de recouvrer, dès octobre 2012, une capacité de travail de 80%. A cet égard, le fait que l’intéressée n’ait pas repris une activité formelle rémunérée est sans pertinence. Quant à l’aggravation alléguée par la recourante au niveau de ses cervicales, elle est certes objectivée par une radiographie mais postérieure à la décision litigieuse. Enfin, les autres atteintes évoquées par la recourante (problèmes ORL et céphalées) n’ont été documentées par aucun rapport médical.</w:t>
      </w:r>
    </w:p>
    <w:p>
      <w:r>
        <w:rPr>
          <w:b/>
        </w:rPr>
        <w:t>E. 12</w:t>
      </w:r>
    </w:p>
    <w:p>
      <w:r>
        <w:t>Reste à vérifier si cette amélioration avérée de l’état de santé de la recourante s’est traduite par une diminution du degré d’invalidité et dans quelle mesure. L’OAI a fixé le revenu que l’assurée aurait réalisé sans atteinte à sa santé à CHF 47'079.-. En effet, l’intéressée avait travaillé de juin 1997 à juin 2000 en qualité de femme de chambre et, selon son dernier employeur, aurait réalisé en juillet 2000 un revenu annuel de CHF 38'594.40 en travaillant à plein temps, ce qui, après indexation selon l’ISS, correspond à un montant de CHF 47'079.- en 2012. Ce montant n’apparaît pas critiquable et n’est d’ailleurs pas contesté par la recourante. L’OAI l’a ensuite comparé à celui qu’aurait pu obtenir l’assurée en exerçant une activité adaptée à 70% dès mai 2012 selon les statistiques (ESS 2010, TA1, tous secteurs confondus, activité de niveau 4 = 4'225.- CHF/mois pour un horaire de 40 h./sem. = CHF 37'639.- par an à 70% pour un horaire de 41,6 h./sem. en 2012, puis réduction supplémentaire de 10% pour tenir compte du taux d’occupation réduit), soit CHF 33'876.-, ce qui l’a conduit à un degré d’invalidité de 28%, insuffisant pour ouvrir droit à une rente et d’autant moins par la suite, lorsque le taux d’occupation a été augmenté à 80%.</w:t>
      </w:r>
    </w:p>
    <w:p>
      <w:r>
        <w:t>A/3284/2014 - 14/15 - Il en découle que c’est à juste titre que l’intimé a mis un terme au versement de la demi-rente allouée jusqu’alors à la recourante, étant précisé qu’il est loisible à celle-ci, si elle considère que son état de santé s’est aggravé postérieurement à la décision litigieuse, de saisir l’intimé d’une demande de révision. Eu égard aux considérations qui précèdent, le recours est rejeté.</w:t>
      </w:r>
    </w:p>
    <w:p>
      <w:r>
        <w:t>A/3284/2014 - 15/15 -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