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ATAS/1012/2014 vom 17. September 2014</w:t>
      </w:r>
    </w:p>
    <w:p>
      <w:r>
        <w:t>GE Cour de justice, 2014-09-17, FR</w:t>
      </w:r>
    </w:p>
    <w:p>
      <w:r>
        <w:rPr>
          <w:b/>
        </w:rPr>
        <w:t xml:space="preserve">Quelle: </w:t>
      </w:r>
      <w:r>
        <w:t>https://mcp.opencaselaw.ch/entscheid/ge_gerichte_ATAS_1012_2014</w:t>
      </w:r>
    </w:p>
    <w:p>
      <w:r>
        <w:t>FR: GE_GERICHTE ATAS/1012/2014 du 17 septembre 2014</w:t>
      </w:r>
    </w:p>
    <w:p>
      <w:r>
        <w:t>IT: GE_GERICHTE ATAS/1012/2014 del 17 settembre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Interjetés dans la forme et le délai prévus par la loi, les recours sont recevables, en vertu des art. 56ss LPGA.</w:t>
      </w:r>
    </w:p>
    <w:p>
      <w:r>
        <w:rPr>
          <w:b/>
        </w:rPr>
        <w:t>E. 3</w:t>
      </w:r>
    </w:p>
    <w:p>
      <w:r>
        <w:t>Le litige porte sur le maintien du droit de la recourante au versement d’une demi- rente d’invalidité.</w:t>
      </w:r>
    </w:p>
    <w:p>
      <w:r>
        <w:t>A/542/2014 - 9/15 -</w:t>
      </w:r>
    </w:p>
    <w:p>
      <w:r>
        <w:rPr>
          <w:b/>
        </w:rPr>
        <w:t>E. 4</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 b.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(arrêt du Tribunal fédéral des assurances I 512/05 du 3 mai 2006 consid. 3). En particulier, les organes d'application ne sauraient procéder en tout temps à une nouvelle appréciation de la situation après un examen plus approfondi des faits. Le caractère inexact de l'appréciation doit bien plutôt résulter de l'ignorance ou de l'absence, à l'époque,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(arrêt du Tribunal fédéral 9C_71/2008 du 14 mars 2008 consid. 2 ; arrêt du Tribunal fédéral des assurances U 5/07 du</w:t>
      </w:r>
    </w:p>
    <w:p>
      <w:r>
        <w:rPr>
          <w:b/>
        </w:rPr>
        <w:t>E. 9</w:t>
      </w:r>
    </w:p>
    <w:p>
      <w:r>
        <w:t>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w:t>
      </w:r>
    </w:p>
    <w:p>
      <w:r>
        <w:t>A/542/2014 - 12/15 -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11</w:t>
      </w:r>
    </w:p>
    <w:p>
      <w:r>
        <w:t>a. En juillet 2010, la recourante a fait l'objet d'une expertise pluridisciplinaire à la CRR. Cette expertise est basée sur une anamnèse et une analyse complètes du dossier, lequel comportait tous les rapports et documents radiologiques pertinents. L’état de santé de la recourante a fait l’objet d’examens approfondis et des investigations complémentaires ont été requises. Les plaintes de la recourante ont été prises en compte et les spécialistes ont procédé à une discussion et à une appréciation du cas détaillées. Ils ont justifié les raisons pour lesquelles ils ont exclu l’existence de tout trouble psychique limitant la capacité de travail et retenu, sur le plan physique, que seule l’atteinte lombaire entrainait des répercussions sur ladite capacité. Ils ont clairement défini les limitations fonctionnelles et se sont prononcés sur la capacité de travail dans l’activité habituelle et dans une activité adaptée aux restrictions retenues. Aucun indice concret ne permet de douter du bien-fondé des conclusions de l’expertise, lesquelles sont dûment motivées et apparaissent des plus convaincantes. Le rapport du 4 novembre 2010 remplit donc tous les réquisits jurisprudentiels pour se voir reconnaître une pleine valeur probante. b. La recourante, laquelle ne conteste pas la valeur probante du rapport d’expertise ni ne prétend que les experts auraient ignoré des éléments objectivement vérifiables dans le cadre de leur examen, invoque que son état de santé s’est aggravé. Elle rappelle tout d’abord que ses problèmes dorsaux sont toujours présents et se réfère</w:t>
      </w:r>
    </w:p>
    <w:p>
      <w:r>
        <w:t>A/542/2014 - 13/15 - à cet égard aux rapports émis par le Dr O______ et la Dresse P______. Le premier de ces médecins a diagnostiqué un lumbago intermittent et des sciatalgies à gauche sur une protrusion cervicale C5-C6 paramédiane droite avec une cyphosisation, ainsi qu’une uncarthrose facettaire L5-S1 et une protrusion paramédiane L5-S1 sans conflit radiculaire (rapport du 19 décembre 2013). Quant à la Dresse P______, elle a fait état de discopathies protrusives C5-C6 médio-latérales droites, de protrusion paramédiane L5-S1 droite et d’une hernie discale L5-S1 (rapport du 16 janvier 2014). La chambre de céans constate que ces diagnostics rejoignent ceux retenus par les experts de la CRR, à savoir des lombalgies persistantes irradiant dans les membres inférieurs, une arthroplastie L5-S1 le 19 décembre 2002, une discectomie L5-S1 en 1996, de discrets troubles statiques et dégénératifs du rachis dorsolombaire, des cervicalgies persistantes accentuées dans les suites d’une contusion cervicale le 20 mars 2010, des discrets troubles dégénératifs cervicaux et une discrète protrusion discale C5-C6, ainsi que des céphalées tensionnelles. Les rapports des médecins précités n’apportent donc aucun élément permettant de considérer que les troubles dorsaux de la recourante se seraient aggravés depuis l'expertise de la CRR. La Dresse P______ a d’ailleurs mentionné que les récentes investigations avaient permis de confirmer les pathologies rachidiennes « présentes depuis de nombreuses années ». La recourante rappelle ensuite avoir été atteinte de la maladie de Basedow après le prononcé de la première décision. La chambre de céans remarque que ce fait était également connu des experts, lesquels ont retenu, à titre de diagnostic sans effet sur la capacité de travail, une maladie de Basedow découverte en 2005, traitée d’abord par médicaments puis par curiethérapie en 2007, et une fonction thyroïdienne équilibrée sous substitution hormonale. Leurs conclusions sont au demeurant corroborées par les autres pièces du dossier puisque la médecin-traitant de la recourante avait indiqué au médecin SMR qu’une expertise de médecine interne n’était pas nécessaire, la recourante étant traitée et bien équilibrée sur le plan endocrinologique (avis du Dr M______ du 4 mars 2010). De même, le Dr D______ a expliqué que la maladie de Basedow avait été traitée par des antithyroïdiens durant quelques mois avant d’entrer en rémission. Une récidive de l’hyperthyroïdie avait été traitée en 2007 et la recourante avait reçu une dose d’iode en décembre 2007 (rapport du 20 décembre 2007). La Dresse G______ a quant à elle signalé que la recourante avait subi une ablation de la thyroïde par radio-iode en juillet 2007, précisant que l’évolution avait été excellente et que la recourante ne présentait aucune diminution de ses capacités physiques (rapport du 26 août 2009). Force est donc de conclure que cette atteinte n’entraîne aucune répercussion sur la capacité de travail de la recourante. Enfin, cette dernière allègue subir une importante perte de l’acuité visuelle de son œil gauche et se réfère à cet égard un rapport de la Dresse N______, laquelle a notamment constaté une amblyopie profonde de l’œil gauche et mentionné que la recourante n’avait pas de vision binoculaire, ce qui engendrait une fatigue oculaire</w:t>
      </w:r>
    </w:p>
    <w:p>
      <w:r>
        <w:t>A/542/2014 - 14/15 - importante (rapport du 21 octobre 2013). La chambre de céans observe cependant que ce trouble est aussi connu de longue date, puisqu’il ressort de nombreuses pièces que la recourante présente, depuis au moins 1995, une amblyopie profonde de l’œil gauche, une baisse de l’acuité visuelle et une forte instabilité oculaire (rapports des HUG des 1er, 6 et 15 septembre 1995). Les experts avaient connaissance de cette atteinte puisqu’ils ont retenu le diagnostic d’amblyopie de l’œil gauche dans les suites d’un strabisme qui aurait été opéré durant l’enfance. Ils ont toutefois estimé que ce trouble n’avait pas de répercussion sur la capacité de travail. La recourante n’apporte aucun élément permettant de remettre en cause ces conclusions. c. Partant, la recourante n’a pas rendu vraisemblable que son état de santé se serait aggravé depuis le rapport d’expertise du 4 novembre 2010. Il s’impose donc de conclure, sur la base dudit rapport que seule l’atteinte lombaire a une répercussion durable sur la capacité de travail et que cette atteinte est stable depuis l’intervention du 19 décembre 2002, ce qui est également admis par le médecin-traitant, dès lors qu'il a considéré que l’état de santé de la recourante était stationnaire depuis le mois de décembre 2002 (rapport de la Dresse C______ du 26 octobre 2009).</w:t>
      </w:r>
    </w:p>
    <w:p>
      <w:r>
        <w:rPr>
          <w:b/>
        </w:rPr>
        <w:t>E. 12</w:t>
      </w:r>
    </w:p>
    <w:p>
      <w:r>
        <w:t>En l'absence d'une péjoration de l'état de santé depuis 2004, il sied dès lors de constater que l'intimé est en droit de remplacer la demi-rente par un quart de rente, dès lors que le calcul du degré d'invalidité dans la décision initiale était manifestement erroné. Il ne fait par ailleurs pas de doute que la rectification de cette décision revêt une importance notable, dès lors qu'elle conduit à une diminution conséquente de la rente.</w:t>
      </w:r>
    </w:p>
    <w:p>
      <w:r>
        <w:rPr>
          <w:b/>
        </w:rPr>
        <w:t>E. 13</w:t>
      </w:r>
    </w:p>
    <w:p>
      <w:r>
        <w:t>Les recours seront donc rejetés.</w:t>
      </w:r>
    </w:p>
    <w:p>
      <w:r>
        <w:rPr>
          <w:b/>
        </w:rPr>
        <w:t>E. 14</w:t>
      </w:r>
    </w:p>
    <w:p>
      <w:r>
        <w:t>Etant donné que depuis le 1er juillet 2006, la procédure n'est plus gratuite (art. 69 al. 1bis LAI), il y a lieu de condamner la recourante au paiement d'un émolument de CHF 200.-.</w:t>
      </w:r>
    </w:p>
    <w:p>
      <w:r>
        <w:t>A/542/2014 - 15/15 -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