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ATAS/1011/2020 vom 26. Oktober 2020</w:t>
      </w:r>
    </w:p>
    <w:p>
      <w:r>
        <w:t>GE Cour de justice, 2020-10-26, FR</w:t>
      </w:r>
    </w:p>
    <w:p>
      <w:r>
        <w:rPr>
          <w:b/>
        </w:rPr>
        <w:t xml:space="preserve">Quelle: </w:t>
      </w:r>
      <w:r>
        <w:t>https://mcp.opencaselaw.ch/entscheid/ge_gerichte_ATAS_1011_2020</w:t>
      </w:r>
    </w:p>
    <w:p>
      <w:r>
        <w:t>FR: GE_GERICHTE ATAS/1011/2020 du 26 octobre 2020</w:t>
      </w:r>
    </w:p>
    <w:p>
      <w:r>
        <w:t>IT: GE_GERICHTE ATAS/1011/2020 del 26 ottobre 2020</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Interjeté en temps utile, le recours est recevable (art. 62 al. 1 LPA ; 43 LPCC).</w:t>
      </w:r>
    </w:p>
    <w:p>
      <w:r>
        <w:rPr>
          <w:b/>
        </w:rPr>
        <w:t>E. 3</w:t>
      </w:r>
    </w:p>
    <w:p>
      <w:r>
        <w:t>Le litige porte sur le calcul de la PCFam du 1er novembre au 31 décembre 2019, singulièrement sur la question de la prise en compte du montant versé par l’OPE au titre de rattrapage d’annuité.</w:t>
      </w:r>
    </w:p>
    <w:p>
      <w:r>
        <w:rPr>
          <w:b/>
        </w:rPr>
        <w:t>E. 4</w:t>
      </w:r>
    </w:p>
    <w:p>
      <w:r>
        <w:t>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de la loi fédérale sur les prestations complémentaires à l’AVS et à l’AI du 6 octobre 2006 (LPC - RS 831.30),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 prestation en espèces, versée mensuellement, calculée sur la base de revenus et dépenses réguliers et prévisibles, et qui fait l’objet d’un financement</w:t>
      </w:r>
    </w:p>
    <w:p>
      <w:r>
        <w:t>A/1758/2020 - 4/7 - conjoint de la Confédération et des cantons (art. 3 al. 1 let. a et al. 2, 13 et 15 LPC) -, et du remboursement des frais de maladie et d’invalidité, sur présentation de pièces justificatives, prestations en nature à la charge exclusive des cantons (art. 3 al. 1 let. b, 14 et 16 LPC). L’art. 2 al. 2 phr. 1 LPC prévoit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b. Le canton de Genève prévoit deux types de telles prestations sociales, en complément ou en marge des prestations complémentaires prévues par la LPC, ciblant deux catégories distinctes de bénéficiaires :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d’autre part, les familles avec enfant(s) – bénéficiaires pouvant cas échéant prétendre au versement de prestations complémentaires cantonales pour les familles, appelées prestations complémentaires familiales (ci- après : PCFam ; art. 1 al. 2 et 36A à 36I LPCC ; ATAS/994/2014 du 9 septembre 2014 ; ATAS/955/2014 du 25 août 2014). c. Selon l’art. 1A al. 2 LPCC, les PCFam sont régies par les dispositions figurant aux titres IIA et III de la LPCC, par les dispositions de la LPC auxquelles la LPCC renvoie expressément et les dispositions d'exécution de la LPC désignées par règlement du Conseil d'État (cf. art. 2 du règlement relatif aux prestations complémentaires familiales, du 27 juin 2012 - RPCFam - J 4 25.04), ainsi que par la loi fédérale sur la partie générale du droit des assurances sociales, du 6 octobre 2000 (LPGA - RS 830) et ses dispositions d’exécution, applicables à titre de droit cantonal supplétif (ATF 138 I 232 consid. 2.4 ; arrêt du Tribunal fédéral 9C_670/2015 du 7 janvier 2016 consid. 3.1).</w:t>
      </w:r>
    </w:p>
    <w:p>
      <w:r>
        <w:rPr>
          <w:b/>
        </w:rPr>
        <w:t>E. 5</w:t>
      </w:r>
    </w:p>
    <w:p>
      <w:r>
        <w:t>Selon l’art. 36D al. 1 LPCC, le montant annuel des prestations complémentaires familiales correspond à la part des dépenses reconnues au sens de l'article 36F qui excède le revenu déterminant au sens de l'article 36E, mais ne doit pas dépasser le montant prévu à l'article 15, alinéa 2. Selon l’art. 36E al. 1 LPCC, le revenu déterminant est calculé conformément à l'article 11 de la loi fédérale, moyennant les adaptations suivantes : a. les ressources en espèces ou en nature provenant de l'exercice d'une activité lucrative sont intégralement prises en compte ; b. le revenu déterminant est augmenté d'un cinquième de la fortune calculée en application de l'article 7 de la présente loi ; c.</w:t>
      </w:r>
    </w:p>
    <w:p>
      <w:r>
        <w:t>A/1758/2020 - 5/7 - les bourses d'études et autres aides financières destinées à l'instruction sont prises en compte ; d. les ressources de l'enfant ou de l'orphelin à charge provenant de l'exercice d'une activité lucrative régulière sont prises en compte à raison de 50%. L’art. 23 RPCFam prévoit que pour la fixation de la prestation complémentaire annuelle, sont déterminants : a. les revenus provenant de l'exercice d'une activité lucrative obtenus au cours de l'année civile précédente, ou les revenus probables convertis en revenu annuel ; b. les prestations périodiques en cours, telles que les allocations de logement, les allocations familiales, les bourses d'études et autres aides financières destinées à l'instruction, les pensions alimentaires et contributions d'entretien ; c. l'état de la fortune au 1er janvier de l'année pour laquelle la prestation est versée (al. 1). Pour les ayants droit dont la fortune et les revenus à prendre en compte peuvent être déterminés à l'aide d'une taxation fiscale, la période de calcul correspond à celle sur laquelle se fonde la dernière taxation fiscale, si aucune modification sensible de la situation économique de l'ayant droit n'est intervenue entretemps (al. 2). L’art. 24 al. 1 let. c et d RPCFam prévoit que la prestation complémentaire annuelle doit être augmentée, réduite ou supprimée :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(let. c) ; lors d'un contrôle périodique, si l'on constate un changement des dépenses reconnues, des revenus déterminants et de la fortune (let. d). L’art. 24 al. 2 let. d RPCFam prévoit que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Selon l’art. 25 RPCFam, le service réexamine chaque année la situation économique des bénéficiaires.</w:t>
      </w:r>
    </w:p>
    <w:p>
      <w:r>
        <w:rPr>
          <w:b/>
        </w:rPr>
        <w:t>E. 6</w:t>
      </w:r>
    </w:p>
    <w:p>
      <w:r>
        <w:t>En l’occurrence, l’intimé a recalculé les PCFam dues au recourant pour les mois de novembre et décembre 2019, compte tenu du montant versé en 2019 par l’OPE au titre de rattrapage d’annuité. Cette décision est conforme à la LPCC et au RPCC précités. En particulier, le montant du rattrapage d’annuité doit être qualifié de revenu au sens des art. 36E al. 1 let. a LPCC et 11 LPC et doit, à ce titre, être pris en compte entièrement. Comme relevé par l’intimé, le traitement fiscal de ce revenu, par la prise en compte d’une diviseur 3 pour les montants correspondant aux années 2016 à 2018, n’est pas pertinent dans le cadre des PCFam. Enfin, le grief du recourant quant au calcul de sa fortune tombe à faux dès lors qu’aucun montant n’a été retenu à ce titre.</w:t>
      </w:r>
    </w:p>
    <w:p>
      <w:r>
        <w:rPr>
          <w:b/>
        </w:rPr>
        <w:t>E. 7</w:t>
      </w:r>
    </w:p>
    <w:p>
      <w:r>
        <w:t>Partant, le recours ne peut qu’être rejeté.</w:t>
      </w:r>
    </w:p>
    <w:p>
      <w:r>
        <w:t>A/1758/2020 - 6/7 - Pour le surplus, la procédure est gratuite.</w:t>
      </w:r>
    </w:p>
    <w:p>
      <w:r>
        <w:t>A/1758/2020 - 7/7 -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