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ATAS/1011/2019 vom 5. November 2019</w:t>
      </w:r>
    </w:p>
    <w:p>
      <w:r>
        <w:t>GE Cour de justice, 2019-11-05, FR</w:t>
      </w:r>
    </w:p>
    <w:p>
      <w:r>
        <w:rPr>
          <w:b/>
        </w:rPr>
        <w:t xml:space="preserve">Quelle: </w:t>
      </w:r>
      <w:r>
        <w:t>https://mcp.opencaselaw.ch/entscheid/ge_gerichte_ATAS_1011_2019</w:t>
      </w:r>
    </w:p>
    <w:p>
      <w:r>
        <w:t>FR: GE_GERICHTE ATAS/1011/2019 du 5 novembre 2019</w:t>
      </w:r>
    </w:p>
    <w:p>
      <w:r>
        <w:t>IT: GE_GERICHTE ATAS/1011/2019 del 5 novembre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formes et délai prescrits par la loi, le présent recours est recevable (art. 56 à 61 LPGA).</w:t>
      </w:r>
    </w:p>
    <w:p>
      <w:r>
        <w:rPr>
          <w:b/>
        </w:rPr>
        <w:t>E. 3</w:t>
      </w:r>
    </w:p>
    <w:p>
      <w:r>
        <w:t>L'objet du litige, tel que circonscrit par les conclusions du recours, porte sur le droit de la recourante à une rente d’invalidité.</w:t>
      </w:r>
    </w:p>
    <w:p>
      <w:r>
        <w:t>A/2024/2019 - 24/29 -</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5</w:t>
      </w:r>
    </w:p>
    <w:p>
      <w:r>
        <w:t>Selon l’art. 17 al. 1er LPGA,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(arrêt du Tribunal fédéral 9C_117/2018 du 19 octobre 2018 consid. 5.1).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w:t>
      </w:r>
    </w:p>
    <w:p>
      <w:r>
        <w:rPr>
          <w:b/>
        </w:rPr>
        <w:t>E. 6</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w:t>
      </w:r>
    </w:p>
    <w:p>
      <w:r>
        <w:t>A/2024/2019 - 25/29 -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7</w:t>
      </w:r>
    </w:p>
    <w:p>
      <w:r>
        <w:t>La recourante a fait valoir une violation de son droit d’être entendue, alléguée notamment en lien avec la motivation insuffisante selon elle de la décision attaquée.</w:t>
      </w:r>
    </w:p>
    <w:p>
      <w:r>
        <w:t>A/2024/2019 - 26/29 - Compte tenu de l’issue du litige, il n’est toutefois pas nécessaire d’examiner ce moyen. En l’espèce, dans son arrêt du 30 mai 2017, la chambre de céans avait renvoyé la cause à l’intimé, à charge pour ce dernier d’une part de définir concrètement les activités adaptées aux limitations fonctionnelles retenues par les experts, et d’autre part d’examiner si la modification de la personnalité évoquée par la Dresse I______ constituait une aggravation de l’état de santé de la recourante influant sur son droit aux prestations. Il convient en premier lieu d’examiner si l’aggravation alléguée de l’état de santé a été instruite à satisfaction de droit, étant rappelé que l’intimé devait tenir compte dans ce contexte non seulement d’une possible modification de la personnalité, mais également de toutes les nouvelles atteintes apparues jusqu’au prononcé de la décision, qui fixe le cadre temporel de l’état de fait déterminant pour apprécier la légalité d’une décision (arrêt du Tribunal fédéral 9C_777/2013 du 13 février 2014 consid. 5.2.2). Au plan psychique, l’instruction n’a pas permis d’établir une aggravation postérieure à la décision qui a donné lieu à l’arrêt de la chambre de céans du 30 mai 2017. En effet, la dégradation évoquée par la Dresse I______ remonte à 2013. Or, cet élément est contredit par les constatations des experts, dont la chambre de céans a reconnu la valeur probante dans son arrêt du 30 mai 2017 – point sur lequel il n’y a pas lieu de revenir. L’aggravation signalée paraît du reste en contradiction avec les autres indications de cette psychiatre, puisqu’elle qualifiait par ailleurs l’évolution de lentement favorable dans son rapport du 1er février 2018 et qu’elle évoquait le 22 février suivant la stabilité retrouvée par la recourante. En ce qui concerne plus particulièrement la modification durable de la personnalité évoquée par la Dresse I______, il faut rappeler qu’eu égard à la nature économique de l’invalidité (ATF 110 V 273 consid. 4a), l'atteinte à la santé n'est pas à elle seule déterminante et ne sera prise en considération que dans la mesure où elle entraîne une incapacité de travail ayant des effets sur la capacité de gain de l'assuré (arrêt du Tribunal fédéral des assurances I 501/04 du 13 décembre 2005 consid. 7.2). Or, compte tenu de l’état psychique stationnaire de la recourante rapporté par la psychiatre, force est de constater qu’une éventuelle modification durable de la personnalité – fût-elle avérée – n’a pas de répercussion sur la capacité de gain de la recourante. Du point de vue somatique, la très grande majorité des atteintes recensées par le Dr J______ et leur incidence sur la capacité de gain de la recourante ont déjà été analysées par les experts, qui ont exclu leur caractère invalidant. La chambre de céans a également reconnu la valeur probante de leur rapport à cet égard. S’agissant des atteintes non prises en compte par les experts, la chambre de céans retient ce qui suit. En ce qui concerne le prolapsus génital, on peut suivre le Dr T______ qui n’admet qu’une incapacité transitoire liée à cette atteinte. En effet,</w:t>
      </w:r>
    </w:p>
    <w:p>
      <w:r>
        <w:t>A/2024/2019 - 27/29 - le service de gynécologie des HUG a signalé que les suites de l’intervention s’étaient révélées simples, et il n’existe pas d’autre document faisant état d’une incapacité de travail durable pour ce motif. La chambre de céans se ralliera également à l’appréciation du médecin du SMR s’agissant de l’incidence des troubles du sommeil, eu égard au caractère très léger de ces troubles et de l’efficacité normale du sommeil selon les indications du laboratoire du sommeil des HUG. En ce qui concerne le syndrome du tunnel carpien bilatéral, si le Dr Q______ a écarté l’opportunité d’une intervention, il ne s’est pas prononcé sur la répercussion de cette atteinte sur la capacité de travail. Toutefois, en avril 2018, le Dr S______ n’a pas exclu l’exercice d’une activité adaptée eu égard aux troubles musculo-squelettiques – quand bien même il a admis de nouvelles limitations fonctionnelles consistant à éviter les mouvements de pro-supination des mains. En revanche, pour ce qui a trait aux troubles oto-rhino-laryngologiques, le Dr T______ s’est contenté d’indiquer qu’il n’existait aucun élément objectif sous-tendant les crises vertigineuses, et qu’une incapacité de travail ne pouvait être admise en lien avec ces atteintes. Or, au vu de la neuronite vestibulaire droite en mai 2016 rapportée par le Dr J______, et de la maladie de Ménière et du déficit vestibulaire droit signalés par la Dresse R______, l’affirmation du médecin du SMR, nullement motivée, ne suffit pas à exclure au degré de la vraisemblance prépondérante la réalité de ces atteintes et leurs éventuelles répercussions sur la capacité de gain de la recourante. Partant, la cause doit être renvoyée à l’intimé, à charge pour ce dernier d’examiner l’incidence des atteintes ORL rapportées sur la capacité de gain de la recourante, par exemple en procédant à une expertise sur ce point. Il lui appartiendra ensuite de déterminer une nouvelle fois le degré d’invalidité de la recourante en fonction des résultats des investigations entreprises. À cet égard, il convient de souligner que l’arrêt du 30 mai 2017 avait déjà enjoint l’intimé à définir les activités adaptées aux limitations fonctionnelles de manière précise, sans se contenter d’une simple référence aux activités simples et répétitives accessibles sur le marché du travail équilibré. C’est ici le lieu de rappeler que dans le cas où un arrêt de renvoi est rendu, ses considérants lient aussi bien l'autorité de renvoi que le juge, qui ne saurait revenir sur sa décision à l'occasion d'un recours subséquent (arrêt du Tribunal fédéral 9C_407/2008 du 6 avril 2009 consid. 1.1). En l’espèce, l’intimé a organisé un stage d’observation à la suite de cet arrêt. Si cette mesure était opportune, elle n’était pas indispensable pour définir des activités concrètement adaptées aux limitations fonctionnelles de la recourante. L’échec de la mesure d’observation, qui n’est certes pas imputable à l’intimé, ne le dispensait pas d’indiquer précisément plusieurs activités compatibles avec l’état de santé de la recourante au plan médico-théorique. Or, ce n’est que dans sa réponse au recours du 24 juin 2019 que l’intimé s’est conformé à cette obligation. En outre, s’agissant des activités retenues, on peut se demander si celle de surveillante de cantine scolaire permettrait à la recourante d’exploiter complètement sa capacité de gain,</w:t>
      </w:r>
    </w:p>
    <w:p>
      <w:r>
        <w:t>A/2024/2019 - 28/29 - dans la mesure où les horaires d’une telle activité sont généralement limités au repas de midi. Il paraît en outre douteux qu’une telle activité n’implique aucun port de charges. Il appartiendra ainsi à l’intimé, dans le cadre de la décision à intervenir, de définir concrètement plusieurs activités adaptées aux limitations fonctionnelles, intégrant notamment les restrictions signalées dans les mouvements des mains par le Dr S______. Eu égard au renvoi de la cause à l’intimé, l’audition de la recourante et celle de la Dresse R______ apparaissent inutiles à ce stade de la procédure. Partant, la chambre de céans y renoncera, par appréciation anticipée des preuves (ATF 130 II 425 consid. 2.1).</w:t>
      </w:r>
    </w:p>
    <w:p>
      <w:r>
        <w:rPr>
          <w:b/>
        </w:rPr>
        <w:t>E. 8</w:t>
      </w:r>
    </w:p>
    <w:p>
      <w:r>
        <w:t>Le recours est partiellement admis. La recourante a droit à des dépens, qui seront fixés à CHF 1'000.- (art. 61 let. g LPGA). L’intimé supporte l’émolument de procédure de CHF 200.- (art. 69 al. 1bis LAI). * * * * * *</w:t>
      </w:r>
    </w:p>
    <w:p>
      <w:r>
        <w:t>A/2024/2019 - 29/29 -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