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ATAS/1011/2017 vom 9. November 2017</w:t>
      </w:r>
    </w:p>
    <w:p>
      <w:r>
        <w:t>GE Cour de justice, 2017-11-09, FR</w:t>
      </w:r>
    </w:p>
    <w:p>
      <w:r>
        <w:rPr>
          <w:b/>
        </w:rPr>
        <w:t xml:space="preserve">Quelle: </w:t>
      </w:r>
      <w:r>
        <w:t>https://mcp.opencaselaw.ch/entscheid/ge_gerichte_ATAS_1011_2017</w:t>
      </w:r>
    </w:p>
    <w:p>
      <w:r>
        <w:t>FR: GE_GERICHTE ATAS/1011/2017 du 9 novembre 2017</w:t>
      </w:r>
    </w:p>
    <w:p>
      <w:r>
        <w:t>IT: GE_GERICHTE ATAS/1011/2017 del 9 novembre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les formes requises, le recours est recevable (art. 56V al. 1 let. a ch. 8 LOJ et 60 LPGA).</w:t>
      </w:r>
    </w:p>
    <w:p>
      <w:r>
        <w:rPr>
          <w:b/>
        </w:rPr>
        <w:t>E. 3</w:t>
      </w:r>
    </w:p>
    <w:p>
      <w:r>
        <w:t>Le litige porte sur le bien-fondé et la durée de la sanction infligée au recourant pour avoir fait défaut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rPr>
          <w:b/>
        </w:rPr>
        <w:t>E. 6</w:t>
      </w:r>
    </w:p>
    <w:p>
      <w:r>
        <w:t>Selon l’art. 30 al. 3 LACI, la durée de la suspension est proportionnelle à la gravité de la faute ; ainsi, en cas de faute légère, la durée de la suspension est de un à quinze jours (a), en cas de faute de gravité moyenne, de seize à trente jours (b) et en cas de faute grave, de trente et un à soixante jours (d) (cf. art. 45 al. 2 OACI). Selon le barème établi par le Secrétariat d’État à l’Économie (SECO), lorsque l’assuré ne se présente pas à un entretien de conseil ou à une séance d’information, sans aucun</w:t>
      </w:r>
    </w:p>
    <w:p>
      <w:r>
        <w:t>A/1028/2017 - 5/6 - motif valable, la sanction se situe entre cinq et huit jours s’il s’agit du premier manquement, entre neuf et quinze jours lors du second manquement. À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 En l’espèce, la situation n’est pas analogue. Force est de constater que c’est la deuxième fois que le recourant manque à ses devoirs de chômeur depuis l’ouverture de son délai-cadre, dans des circonstances analogues. La première sanction qui lui a été infligée l’a été parce qu’il ne s’était pas présenté à un entretien en raison d’une mission temporaire et n’avait pas pris la peine d’en informer son conseiller. On ne saurait dès lors considérer que le recourant prend ses obligations de chômeur et de bénéficiaire de prestations suffisamment au sérieux. Au vu des circonstances, le comportement du recourant ne saurait en tout cas être qualifié d’« irréprochable », de sorte que c’est à juste titre qu’une sanction a été prononcée. On relèvera que l’intimé a malgré tout fait preuve de mansuétude, dans la mesure où il a réduit la durée de la suspension, sur opposition, à huit jours, ce qui se situe en dessous du minimum prévu pour un deuxième manquement selon le barème du SECO (cf. Bulletin LACI, D79 ch. 3A. 1 et 2). En effet, si le recourant avait effectivement un motif valable de ne pas se présenter - en admettant qu’il n’ait été libéré qu’après l’heure de son rendez-vous -, il lui appartenait de prendre ses dispositions pour aviser son conseiller à l’avance. Il disposait pour ce faire de toute la journée du dimanche pour trouver un tiers pouvant l’aider à rédiger un courriel. En y renonçant, le recourant a tout le moins fait preuve de négligence, ce qu’il admet d’ailleurs à demi-mot, en admettant avoir donné la priorité à sa mission. Au vu de ce qui précède, le recours est rejeté.</w:t>
      </w:r>
    </w:p>
    <w:p>
      <w:r>
        <w:t>A/1028/2017 - 6/6 -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