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ATAS/1011/2013 vom 16. Oktober 2013</w:t>
      </w:r>
    </w:p>
    <w:p>
      <w:r>
        <w:t>GE Cour de justice, 2013-10-16, FR</w:t>
      </w:r>
    </w:p>
    <w:p>
      <w:r>
        <w:rPr>
          <w:b/>
        </w:rPr>
        <w:t xml:space="preserve">Quelle: </w:t>
      </w:r>
      <w:r>
        <w:t>https://mcp.opencaselaw.ch/entscheid/ge_gerichte_ATAS_1011_2013</w:t>
      </w:r>
    </w:p>
    <w:p>
      <w:r>
        <w:t>FR: GE_GERICHTE ATAS/1011/2013 du 16 octobre 2013</w:t>
      </w:r>
    </w:p>
    <w:p>
      <w:r>
        <w:t>IT: GE_GERICHTE ATAS/1011/2013 del 16 ottobre 2013</w:t>
      </w:r>
    </w:p>
    <w:p>
      <w:pPr>
        <w:pStyle w:val="Heading2"/>
      </w:pPr>
      <w:r>
        <w:t>Erwägungen</w:t>
      </w:r>
    </w:p>
    <w:p>
      <w:r>
        <w:rPr>
          <w:b/>
        </w:rPr>
        <w:t>E. 32</w:t>
      </w:r>
    </w:p>
    <w:p>
      <w:r>
        <w:t>Saisi d’un recours de l’assurée, le Tribunal fédéral, par arrêt non publié du 13 juillet 2012 (cause 9C_912/2011), a annulé l’arrêt précité, considérant que si l’avis du Dr Q__________ n’était certes pas suffisant pour évincer les autres documents médicaux figurant au dossier, il faisait état de diagnostics justifiés de manière circonstanciée et critiquait de manière détaillée les conclusions du rapport d’expertise. Par ailleurs, l’avis du Dr Q__________ n’était pas isolé, mais il trouvait écho dans ceux des Drs N__________, R__________ et T__________. Enfin, le Tribunal fédéral a jugé que les conclusions du Dr Q__________ reposaient sur des éléments anamnestiques plus cohérents que ceux du CEMED, même s’ils n’étaient pas décisifs en soi. La cause était ainsi renvoyée à la Cour de céans pour nouvel examen des preuves, après une éventuelle instruction complémentaire.</w:t>
      </w:r>
    </w:p>
    <w:p>
      <w:r>
        <w:rPr>
          <w:b/>
        </w:rPr>
        <w:t>E. 33</w:t>
      </w:r>
    </w:p>
    <w:p>
      <w:r>
        <w:t>Mandaté pour expertise par la Cour de céans, par ordonnance du 11 septembre 2012, le Dr U__________, spécialiste FMH en psychiatrie et psychothérapie, a établi son rapport en date du 7 décembre 2012. Il a diagnostiqué un trouble mixte de la personnalité (immature, dépendante, passive, agressive) (F61.0), un trouble dépressif récurrent, épisode actuel moyen avec syndrome somatique (F33.11) et une anxiété généralisée (F41.1). Selon l’expert, le trouble de la personnalité, qualifié de grave, et l’anxiété généralisée, de degré moyen, existaient depuis l’adolescence au moins. Quant au trouble dépressif, fluctuant entre intensité légère et grave, il existait depuis l’arrivée de la recourante en Suisse au moins, mais il était probablement antérieur à cette date compte tenu du traitement antidépressif instauré au Portugal déjà. L'expert retient les limitations fonctionnelles suivantes : ralentissement psychique et moteur impliquant un mauvais rendement ; personnalité immature et dépendante impliquant un absentéisme important ; besoin d’être assistée et soutenue</w:t>
      </w:r>
    </w:p>
    <w:p>
      <w:r>
        <w:t>A/1701/2010 - 9/26 - constamment ; anxiété et inquiétude généralisées, rendant la recourante peu sûre d’elle et empêchant tout esprit d’initiative ; failles de la mémoire et de la concentration impliquant une tendance à commettre des erreurs. A cela s’ajoutaient la symptomatologie dépressive (avec fatigabilité, perte d’énergie vitale, perte de confiance en soi, perte de l’intérêt et de la motivation) et une symptomatologie anxieuse (avec peur de se tromper, peur d’entreprendre, crainte du regard critique d’autrui, etc.). Les diverses atteintes entraînent une incapacité totale de travailler. Plus spécifiquement, le trouble de la personnalité implique une incapacité de 50%, l’anxiété une diminution de la capacité de 30% et le trouble dépressif entraîne une incapacité de travail de 50%. Selon le Dr U__________, la recourante présentait déjà une réduction de la capacité de travail de 20% à son arrivée en Suisse, mais à l'époque elle disposait de ressources mentales et physiques meilleures du fait de son plus jeune âge. Il lui est difficile d’évaluer le rendement professionnel pendant l’emploi en 1991 et 1992, la recourante ayant d’ailleurs elle-même évoqué de grosses difficultés avec un important absentéisme. Elle semble avoir démontré qu’elle était capable de travailler en 1991 et 1992, mais ensuite elle n’a pas été capable de réintégrer le monde du travail en 1994. L'expert est d'avis qu'elle est totalement incapable de travailler au moins depuis cette date. L’expert explique encore que même une activité lucrative adaptée n’est pas exigible de la recourante et que le rendement lui paraît nul.</w:t>
      </w:r>
    </w:p>
    <w:p>
      <w:r>
        <w:rPr>
          <w:b/>
        </w:rPr>
        <w:t>E. 34</w:t>
      </w:r>
    </w:p>
    <w:p>
      <w:r>
        <w:t>Dans son écriture du 14 janvier 2013, la recourante considère que l’expertise du Dr U__________ doit se voir reconnaître une pleine valeur probante et persiste dans les conclusions de son recours.</w:t>
      </w:r>
    </w:p>
    <w:p>
      <w:r>
        <w:rPr>
          <w:b/>
        </w:rPr>
        <w:t>E. 35</w:t>
      </w:r>
    </w:p>
    <w:p>
      <w:r>
        <w:t>Pour sa part, l’intimé communique à la Cour de céans, par courrier du 14 janvier 2013 également, l’avis du SMR du même jour, selon lequel la Dresse V__________, médecin du SMR, adhère aux considérations de l’expert, mais estime que les troubles de l’acquisition scolaire (la recourante ayant redoublé à plusieurs reprises ses quelques années d’école) pourraient être en lien avec l’existence d’une dysharmonie évolutive, qui pourrait être la cause d’une diminution de rendement depuis son arrivée en Suisse. La Dresse V__________ est dès lors d’avis qu’il faudrait effectuer un test de quotient intellectuel (QI) et un bilan neuropsychologique pour déceler l’existence de la pathologie précitée, qui impliquerait clairement une diminution de la capacité de travail de l’assurée pour des motifs psychologiques dès son plus jeune âge.</w:t>
      </w:r>
    </w:p>
    <w:p>
      <w:r>
        <w:rPr>
          <w:b/>
        </w:rPr>
        <w:t>E. 36</w:t>
      </w:r>
    </w:p>
    <w:p>
      <w:r>
        <w:t>Par courrier du 17 juin 2013, la Cour de céans a imparti un délai à l’intimé pour prendre des conclusions sur le droit aux prestations de la recourante.</w:t>
      </w:r>
    </w:p>
    <w:p>
      <w:r>
        <w:t>A/1701/2010 - 10/26 -</w:t>
      </w:r>
    </w:p>
    <w:p>
      <w:r>
        <w:rPr>
          <w:b/>
        </w:rPr>
        <w:t>E. 37</w:t>
      </w:r>
    </w:p>
    <w:p>
      <w:r>
        <w:t>La recourante relève, par courrier du 20 juin 2013, que la cause est en état d’être jugée.</w:t>
      </w:r>
    </w:p>
    <w:p>
      <w:r>
        <w:rPr>
          <w:b/>
        </w:rPr>
        <w:t>E. 38</w:t>
      </w:r>
    </w:p>
    <w:p>
      <w:r>
        <w:t>Par courrier du 24 juin 2013, l’intimé modifie ses conclusions antérieures dans le sens d’un complément d’instruction, les tests préconisés par le SMR étant utiles dans le cadre de l’examen juridique des conditions d’assurance afin de pouvoir déterminer plus précisément la date de la survenance de l’invalidité. L’office intimé laisse cependant le soin à la Cour de céans de décider s’il faut lui renvoyer le dossier ou si elle préfère organiser une expertise judiciaire.</w:t>
      </w:r>
    </w:p>
    <w:p>
      <w:r>
        <w:rPr>
          <w:b/>
        </w:rPr>
        <w:t>E. 39</w:t>
      </w:r>
    </w:p>
    <w:p>
      <w:r>
        <w:t>Le 11 juillet 2013, la recourante s’est opposée au renvoi du dossier à l’intimé pour instruction complémentaire. Elle considère que le Dr U__________ a clairement exposé que l’invalidité était survenue entre la fin de l’année 1992 et l’année 1994. Or, dans la mesure où elle a cotisé pendant une année entre 1991 et 1992, elle remplit les conditions d’assurance, ce qui lui ouvre le droit à une rente d’invalidité. Par ailleurs, la recourante relève que la dysharmonie évolutive n’est pas reconnue par la communauté scientifique internationale, contrairement au DSM-IV ou à la CIM-10. Partant, elle persistait dans ses conclusions.</w:t>
      </w:r>
    </w:p>
    <w:p>
      <w:r>
        <w:rPr>
          <w:b/>
        </w:rPr>
        <w:t>E. 40</w:t>
      </w:r>
    </w:p>
    <w:p>
      <w:r>
        <w:t>Par courrier du 18 juillet 2013, la Cour de céans a imparti un nouveau délai à l’intimé pour qu’il lui fasse parvenir ses conclusions sur le fond.</w:t>
      </w:r>
    </w:p>
    <w:p>
      <w:r>
        <w:rPr>
          <w:b/>
        </w:rPr>
        <w:t>E. 41</w:t>
      </w:r>
    </w:p>
    <w:p>
      <w:r>
        <w:t>Après avoir cité plusieurs passages de l’avis du SMR du 14 janvier 2013, l’intimé considère, par courrier du 29 juillet 2013, que sa conclusion tendant à faire compléter l’instruction du dossier sur le plan neuropsychologique concerne tant le fond que la question préalable de la condition d’assurance.</w:t>
      </w:r>
    </w:p>
    <w:p>
      <w:r>
        <w:rPr>
          <w:b/>
        </w:rPr>
        <w:t>E. 42</w:t>
      </w:r>
    </w:p>
    <w:p>
      <w:r>
        <w:t>Pour sa part, la recourante persiste dans ses conclusions par courrier du 14 août 2013.</w:t>
      </w:r>
    </w:p>
    <w:p>
      <w:r>
        <w:rPr>
          <w:b/>
        </w:rPr>
        <w:t>E. 43</w:t>
      </w:r>
    </w:p>
    <w:p>
      <w:r>
        <w:t>Sur ce,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w:t>
      </w:r>
    </w:p>
    <w:p>
      <w:r>
        <w:t>A/1701/2010 - 11/26 - devant le Tribunal cantonal des assurances sociales (art. 143 al. 6 de la LOJ du 26 septembre 2010).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 4. A titre préliminaire, il y a lieu de déterminer l’objet du litige.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w:t>
      </w:r>
    </w:p>
    <w:p>
      <w:r>
        <w:t>A/1701/2010 - 12/26 -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la décision querellée refuse aussi bien le droit de la recourante à des mesures d’ordre professionnel que celui à une rente. Cela étant, le recours dont est saisi la Cour de céans ne porte que sur le refus d’octroyer une rente. Partant, l’objet du litige se limite à la question du droit à une rente d’invalidité. 5. a) Lorsqu’une nouvelle demande est déposée, celle-ci doit établir de façon plausible que l’invalidité, l’impotence ou l’étendue du besoin de soins découlant de l’invalidité de l’assuré s’est modifiée de manière à influencer ses droits (art. 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(ATF 130 V 64 consid. 2 et les arrêts cités). b)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(ATF non publié 9C 1012/2008 du 30 juin 2009).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c) En l'occurrence, la Cour de céans constate que lors de sa première demande de prestations, la recourante n'avait donné aucune indication quant à l'atteinte à la santé dont elle souffrait, ni quant au taux d'incapacité de travail en découlant. De surcroit, aucun médecin ne s'était prononcé. La recourante avait par ailleurs rapidement communiqué à l'intimé copie d'un contrat de travail et indiqué qu'elle retirait sa demande (cf. pièces nos. 7 et 8 intimé). C'est sur ces bases, par</w:t>
      </w:r>
    </w:p>
    <w:p>
      <w:r>
        <w:t>A/1701/2010 - 13/26 - conséquent sans aucune instruction, que l'intimé a rejeté la demande (décision du 19 octobre 1995). Force est de constater que la décision rendue par l'intimé le 19 octobre 1995 ne reposait pas sur un examen matériel du droit aux prestations, ni sur une appréciation des preuves et une comparaison des revenus conformes au droit, de sorte qu'elle ne saurait constituer le point de départ temporel pour l'examen de la nouvelle demande déposée par la recourante en date du 20 octobre 2004. Partant, celle-ci doit être examinée comme s'il s'agit d'une première demande de prestations. 6. a) Avant l’entrée en vigueur de la LPGA, l’art. 4 al. 1 LAI, dans sa teneur en vigueur jusqu’au 31 décembre 2002, disposait que l’invalidité correspondait à la diminution de la capacité de gain, présumée permanente ou de longue durée, qui résultait d’une atteinte à la santé physique, ou mentale provenant d’une infirmité congénitale, d’une maladie ou d’un accident (al. 1). a/bb) Depuis le 1er janvier 2003, est réputée invalidité, l'incapacité de gain totale ou partielle présumée permanente ou de longue durée, résultant d'une infirmité congénitale, d'une maladie ou d'un accident (art. 8 al. 1 LPGA et 4 al. 1 LAI). Quant à l’incapacité de gain, elle vise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b) Selon l’art. 4 al. 2 LAI, dont la teneur n’a pas changé avec l’entrée en vigueur de la LPGA, l’invalidité est réputée survenue dès qu’elle est, par sa nature et sa gravité, propre à ouvrir droit aux prestations entrant en considération. Selon le Tribunal fédéral,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118 V 82 consid. 3a et les références). 7. 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A/1701/2010 - 14/26 -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w:t>
      </w:r>
    </w:p>
    <w:p>
      <w:r>
        <w:t>A/1701/2010 - 15/26 -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Pour les raisons qui viennent 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Cependant,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les références).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w:t>
      </w:r>
    </w:p>
    <w:p>
      <w:r>
        <w:t>A/1701/2010 - 16/26 -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A/1701/2010 - 17/26 - exprimées, qu'il ait été établi en pleine connaissance du dossier (anamnèse), que la description des interférences médicales soit claire et enfin que les conclusions de l'expert soient bien motivées (ATF 125 V 351 consid. 3).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a/aa) En l’espèce, suite au renvoi de la cause par le Tribunal fédéral, la Cour de céans a mis en œuvre une expertise psychiatrique, qu’elle a confiée au Dr U__________. Dans son rapport du 7 décembre 2012, l’expert relève qu’il a examiné la recourante à deux reprises et pris contact avec les médecins qui l’ont suivie, les Drs Q__________ et R__________. Il retient les diagnostics de trouble</w:t>
      </w:r>
    </w:p>
    <w:p>
      <w:r>
        <w:t>A/1701/2010 - 18/26 - mixte de la personnalité (immature, dépendante, passive, agressive) F61.0, trouble dépressif récurrent, épisode actuel moyen avec syndrome somatique F33.11 et d’anxiété généralisée F41.1. L’expert a effectué des examens complets et réalisé une étude approfondie des points litigieux importants. Son rapport comporte une anamnèse personnelle, familiale et professionnelle détaillée. Il a pris en considération les plaintes exprimées par la recourante et établi le rapport en pleine connaissance du dossier. Ses conclusions sont claires et bien motivées. Le Dr U__________ a en particulier expliqué de manière circonstanciée et convaincante les raisons pour lesquelles il s'écartait des diagnostics et appréciations des Drs O__________ et R__________, ce dernier ayant notamment sous-estimé la problématique dépressive de l'expertisée, l'importance de sa phobie de la foule et de sa claustrophobie. En l'absence de ressources compensatrices, l'expert estime qu'il est illusoire d'attendre une amélioration d'un traitement plus intense, ce que le Dr Q__________ a bien compris. L’expert considère que la recourante présentait déjà une réduction de la capacité de travail de 20% à son arrivée en Suisse. Il explique cependant qu’elle disposait, à ce moment-là, de ressources mentales et physiques meilleures en raison de son plus jeune âge. Pour l’expert, la recourante semble avoir fourni la preuve qu’elle était capable de travailler en 1991 et 1992, même s’il est difficile d’évaluer son rendement professionnel, la recourante évoquant des difficultés avec un absentéisme important. Pour l’expert, il est cependant certain que la recourante n’a pas été en mesure de réintégrer le monde professionnel en 1994 de sorte que c’est au moins dès cette date qu’elle était en incapacité totale de travailler. En effet, plus aucune activité lucrative adaptée n’est raisonnablement exigible de la recourante. Au vu de ce qui précède, la Cour de céans considère que le rapport d’expertise remplit les conditions jurisprudentielles permettant de lui reconnaître une pleine valeur probante. a/bb) L’intimé ne remet pas en question cette appréciation, mais sollicite une instruction médicale complémentaire, comportant un test de quotient intellectuel (QI) et un bilan neuropsychologique dans le but de mettre en évidence une dysharmonie évolutive, ce qui impliquerait une diminution de la capacité de travail de la recourante pour des raisons psychologiques depuis son jeune âge. La Cour de céans ne saurait cependant suivre l’intimé pour les motifs suivants. Tout d’abord, il y a lieu de constater que la dysharmonie évolutive est une atteinte décrite au chiffre 3.0 de la Classification française des troubles mentaux de l’enfant et de l’adolescent (CFTMEA). Il s’agit donc d’une atteinte diagnostiquée sur la personne d’un enfant ou d’un adolescent, ce qui n’est pas le cas de la recourante, qui est adulte depuis de nombreuses années.</w:t>
      </w:r>
    </w:p>
    <w:p>
      <w:r>
        <w:t>A/1701/2010 - 19/26 - Force est ensuite de constater que selon le commentaire relatif au chiffre 3.0 CFTMEA, la dysharmonie évolutive recoupe des éléments des catégories F 93 et F 94 de la CIM-10, sans leur être entièrement assimilables. Il ne s’agit donc pas d’une atteinte reconnue par un système de classification internationalement reconnu tel que la CIM-10 ou le DSM-IV. Or, la jurisprudence veut que toute atteinte psychique doit pouvoir être mise en relation avec une position de la CIM-10 ou du DSM-IV (voir ATF 130 V 396 ; PAYCHERE, Le médecin-expert : une nouvelle figure tragique ?, in L’expertise médicale, volume 3, 2008, p. 117 – 118) et la dysharmonie évolutive ne l’est pas. A cela s’ajoute le fait que les catégories F 93 (troubles émotionnels apparaissant spécifiquement dans l’enfance) et F 94 (troubles du fonctionnement social apparaissant spécifiquement durant l’enfance ou l’adolescence), qui se recoupent partiellement avec la dysharmonie évolutive, n’ont pas été évoquées par l’expert, dont les conclusions n’ont à aucun moment été contestées par l’intimé et le SMR, ce dernier ayant même adhéré à ses considérations. Pour toutes ces raisons, il n’y a pas lieu de donner suite à la demande d’instruction médicale complémentaire formulée par l’intimé, ce d’autant moins qu’il ne conteste pas la valeur probante de l’expertise et par conséquent les diagnostics retenus (appréciation anticipée des preuves ; ATF 122 II 464 consid. 4a, ATF 122 III 219 consid. 3c). Au demeurant, l'expert a clairement indiqué qu'une diminution de rendement de 20 % était déjà présente à l'arrivée de la recourante en Suisse, ce qui n'est toutefois pas déterminant s'agissant du droit à une rente. b/aa) Avant d’examiner la date de survenance de l’invalidité, il y a lieu de rappeler que les médecins traitants de la recourante ont évoqué, à plusieurs reprises, des douleurs multiples d’origine indéterminée (rapport du Dr N__________ du 9 décembre 2005) ou encore le diagnostic de fibromyalgie (rapports du Dr R__________ des 18 avril 2008 et 23 avril 2009). En raison de ces diagnostics, le TCAS avait d’ailleurs renvoyé la cause à l’intimé pour instruction complémentaire sous la forme d’une expertise bi-disciplinaire, rhumatologique et psychiatrique (ATAS/147/2009 du 11 février 2009). Faisant suite à l’arrêt précité, l’intimé avait mis en œuvre une expertise confiée aux Drs R__________ et S__________, lesquels avaient également diagnostiqué, dans leur rapport du 21 août 2009, une fibromyalgie depuis longtemps (présence de tous les triggers points). Compte tenu du diagnostic de fibromyalgie, il y a lieu d’examiner l'étiologie du trouble dépressif. En d’autres termes, il convient de déterminer si l’état dépressif mentionné par le Dr U__________ apparaît comme une réaction à la fibromyalgie ou s’il constitue, au contraire, une affection autonome, distincte du syndrome douloureux.</w:t>
      </w:r>
    </w:p>
    <w:p>
      <w:r>
        <w:t>A/1701/2010 - 20/26 - b/bb) Cela étant précisé, la Cour de céans constate qu’il résulte de l’expertise du Dr U__________, que la pathologie psychiatrique, et donc notamment l’état dépressif, est apparue antérieurement au syndrome douloureux, dont la première apparition remonte à 1991 selon le Dr N__________. En effet, selon le Dr T__________, la recourante présentait une pathologie de type anxieuse et dépressive et un traitement anxiolytique et antidépressif lui avait été prescrit antérieurement à son arrivée en Suisse (en 1990) (voir rapport du Dr T__________ du 3 août 2010). Au vu de ce qui précède, il sied d'admettre au degré de la vraisemblance prépondérante que l'état dépressif d'intensité moyenne est apparu antérieurement aux douleurs de sorte qu’on ne peut parler d’une affection réactionnelle au syndrome douloureux même s’il fluctue entre intensité légère et grave. Le trouble dépressif constitue ainsi une atteinte indépendante, qui existerait selon toute vraisemblance également sans cette pathologie rhumatologique. Partant, c’est à juste titre que l’expert psychiatre a pris en considération le trouble dépressif lors de son appréciation de la capacité de travail de la recourante. b/cc) Enfin, toujours selon le Dr U__________, la recourante ne s’est pas focalisée sur la problématique douloureuse, raison pour laquelle il n’a pas retenu le diagnostic de trouble somatoforme douloureux. A ce sujet, la Cour de céans relève que la recourante a déposé sa demande de prestations en raison de troubles psychiques et non pas de douleurs de type fibromyalgique. Au vu de ces constatations, la question du caractère incapacitant de la fibromyalgie peut en l’état rester ouverte, dans la mesure où la recourante est de toute manière totalement incapable de travailler pour des raisons psychiatriques. 11. a) Le rapport du Dr U__________ disposant d’une pleine valeur probante et aucune mesure d’instruction complémentaire n’étant justifiée sur le plan médical, il y a lieu d’examiner à quand remonte l’incapacité de travail de la recourante afin de déterminer la date de survenance de l’invalidité. Dans ce contexte, la Cour de céans relèvera encore que même si l’intimé ne s’est pas prononcé sur cette question, contrairement à la recourante, son droit d’être entendu a été respecté dans la mesure où plusieurs délais lui ont été impartis pour se prononcer sur le fond sans qu’il en ait usage.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premier jour du mois qui suit le dix-huitième anniversaire de l'assuré (art. 29 al. 2 LAI; ATF 126 V 9 consid. 2b).</w:t>
      </w:r>
    </w:p>
    <w:p>
      <w:r>
        <w:t>A/1701/2010 - 21/26 - b) En l’espèce, il ressort du rapport d’expertise que la recourante est totalement incapable de travailler depuis 1994 au moins. En raison de l’emploi des termes « au moins », il n’est pas exclu que l’incapacité de travail totale soit antérieure. Selon l’anamnèse, la recourante a suivi quatre années de scolarité au Portugal, avec apparemment quelque difficulté. Au terme de sa scolarité, elle a travaillé durant une vingtaine d’années dans une usine de farine, notamment dans l’emballage, avec des horaires d’équipe 24 heures sur 24. A son arrivée en Suisse, elle effectue d’abord des travaux de nettoyages le soir (cf. rapport d’expertise CEMED, p. 10), puis elle a travaillé au DSR du 4 janvier au 15 décembre 1991 en tant qu’aide de cuisine, pour un salaire mensuel de 2'700 fr., ce qui correspondait, selon toute vraisemblance, à un emploi à 100% (voir notamment avis du SMR du 20 décembre 2007 dans le même sens). Cet emploi à 100% ressort également de l’expertise du CEMED du 21 août 2009, dans laquelle il est mentionné « 100% comme aide de cuisine dans un EMS, la Résidence du Grand-Saconnex. Elle poursuit cette activité durant une année jusqu’à l’aggravation d’un sentiment de tristesse et de tremblements intérieurs, l’ayant empêchée de continuer son travail. Depuis, elle n’a plus repris de travail, ne se sentant pas assez solide ». Le 25 novembre 1994, la recourante est engagée comme aide-hospitalière non qualifiée dans un EMS, à raison de 32 heures par semaine, pour un salaire de 2'800 fr.. Elle aurait interrompu cette activité au bout de deux jours et demi de travail, car elle n’avait pas la santé, ni l’énergie d’affronter ce poste (cf. rapport d’expertise U__________, p. 5). L’extrait des comptes individuels de la recourante montre qu’à part l’activité d’aide de cuisine durant l’année 1991, elle n’a réalisé que de petits revenus en 1990, durant 6 mois, correspondant apparemment à son activité accessoire de nettoyage, de même que durant les années suivantes. En 1994, elle n’a obtenu un gain que durant le mois de novembre, lorsqu’elle a tenté une reprise de travail. Au vu de ce qui précède, compte tenu de l’échec de la tentative de reprise de travail en novembre 1994, de la faiblesse des revenus réalisés en 1992 et du fait qu’aucun revenu n’a été enregistré en 1993, la Cour de céans considère que le début de l’incapacité de travail totale remonte au 16 décembre 1991. En effet, depuis cette date, la recourante n’a plus été en mesure de réintégrer le monde du travail dans une mesure significative, la tentative de reprise de travail en novembre 1994 s’étant soldée par un échec. Par ailleurs, même si la recourante présentait une incapacité de travail de 20% dès son arrivée en Suisse, cela n’est pas déterminant dans le cas d’espèce, s'agissant de l'ouverture du droit à une rente d'invalidité, qui nécessite une incapacité de travail de 40% au moins pendant un an. Le fait qu’une diminution de rendement de 20% pourrait le cas échéant entraîner une invalidité pour d’autres prestations de l’assurance-invalidité n’est ainsi pas pertinent, étant précisé que, dans un cas concret, il n’y a le plus souvent pas une seule survenance de l’invalidité, mais plusieurs, fixées en fonction des prestations entrant en considération (GREBER, La survenance de l’invalidité et la condition d’assurance, in Cahier genevois de sécurité sociale, n° 3/4, 1988, p. 27).</w:t>
      </w:r>
    </w:p>
    <w:p>
      <w:r>
        <w:t>A/1701/2010 - 22/26 - Par conséquent, la survenance de l’invalidité de la recourante doit être fixée à l’issue du délai de carence d’un an, soit en l’occurrence le 16 décembre 1992 (cf. art. 29 al. 1 let. b LAI ). 12. Du point de vue temporel, il convient d’examiner le droit de la recourante à une rente d’invalidité, au regard des dispositions légales en vigueur en 1992. a) Selon l’art. 28 al. 1 LAI, (en sa teneur en vigueur jusqu’à l’entrée en vigueur de la 5ème révision AI le 1er janvier 2008), l’assuré a droit un quart de rente s’il est invalide à 40 % au moins, à une demi-rente s’il est invalide à 50 % au moins et à une rente entière s’il est invalide à 66 2/3% au moins. Concernant le degré d’invalidité, la Cour de céans relève que la recourante travaillait à 100% en 1991 et qu’elle a tenté une reprise du travail à raison de 32 heures par semaine (soit à 80%) en 1994. Il n’y a en l’état pas lieu de trancher la question de savoir si c’est par choix personnel qu’elle a décidé de travailler à 80% en 1994 ou si ce taux a été choisi en raison de son atteinte à la santé, qui entraînait alors déjà une diminution de rendement de 20% selon le Dr U__________, dès lors qu’elle peut quoi qu’il en soit prétendre à une rente entière même si l’on retient un statut mixte (80% d’activité professionnelle ; 20% de tenue du ménage), solution la moins favorable. En effet, si l’on retient qu’elle est totalement incapable de travailler dans toute activité professionnelle (correspondant à 80% du temps) mais qu’elle ne présente aucune invalidité dans la tenue de son ménage (évaluée à 20% de son temps), - ce qui resterait cependant à démontrer au vu des constatations du Dr U__________ -, la recourante présenterait un degré d’invalidité de 80% au minimum ([80% x 100% + 20% x 0%] = 80%). Dès lors que le degré d’invalidité est supérieur au taux de 66 2/3 % requis par l’art. 28 al. 1 LAI, dans sa teneur en vigueur jusqu’au 31 décembre 2007, la recourante peut dans tous les cas prétendre à une rente entière d’invalidité, pour autant que les autres conditions soient réalisées. b/aa) Selon l’art. 6 al. 1 LAI, dans sa teneur jusqu’au 31 décembre 2000, les ressortissants suisses, les étrangers et les apatrides avaient droit aux prestations conformément aux dispositions de la LAI, s’ils étaient assurés lors de la survenance de l’invalidité. Etaient notamment assurés les personnes physiques qui avaient leur domicile en Suisse et les personnes physiques exerçant en Suisse une activité lucrative (art. 1 LAI et 1a al. 1 let. a et b de la loi fédérale sur l’assurance-vieillesse et survivants du 20 décembre 1946 [LAVS ; RS 831.10]) L’application de l’art. 6 al. 1 précité nécessitait donc l’examen de deux conditions : la survenance de l’invalidité et la réalisation de la clause d’assurance à cette date.</w:t>
      </w:r>
    </w:p>
    <w:p>
      <w:r>
        <w:t>A/1701/2010 - 23/26 - b/bb) Selon l'art. 6 al. 2 LAI, dans sa teneur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Demeurent toutefois réservées les dispositions dérogatoires des conventions bilatérales de sécurité sociale conclues par la Suisse avec un certain nombre d'Etats pour leurs ressortissants respectifs (ATF 126 V 5 consid. 1a). c) Lors de la survenance de l’invalidité de la recourante, en décembre 1992, l'Accord entre la Suisse et la Communauté européenne et ses États membres sur la libre circulation des personnes du 21 juin 1999 (ALCP, RS 0.142.112.681) n’était de loin pas encore entré en vigueur. Compte tenu de la nationalité portugaise de la recourante, les conditions générales du droit aux prestations doivent s’examiner conformément à la Convention de sécurité sociale entre la Suisse et le Portugal, du 11 septembre 1975, entrée en vigueur le 1er mars 1977 (ci-après : la Convention ; RS 0.831.109.654.1). La Convention prévoit, à son art. 2 al. 1, que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sauf exceptions. Dans la mesure où ladite convention prévoit l’égalité de traitement entre les ressortissants suisses et les ressortissants portugais, il y a lieu d’appliquer l’art. 6 al. 1 LAI dans sa teneur en vigueur jusqu’au 31 décembre 2000, disposition qui prévoyait que la recourante devait être assurée lors de la survenance de son invalidité. La recourante était domiciliée à Genève en décembre 1992, date de la survenance de l’invalidité ; elle disposait à l’évidence de la qualité d’assurée conformément aux articles 1 LAI et 1a al. 1 let. a LAVS. 13. Reste à examiner si la recourante remplissait la clause d’assurance. a) Selon l’art. 36 al. 1 LAI, dans sa teneur en vigueur jusqu’au 31 décembre 2007, pour avoir droit aux rentes ordinaires, les assurés devaient compter, lors de la survenance de l’invalidité, au moins une année entière de cotisations. L’alinéa 2 de cette même disposition prévoyait que les dispositions de la loi fédérale sur l'assurance-vieillesse et survivants du 20 décembre 1946 (LAVS) étaient (sous réserve de l'art. 36 al. 3 LAI) applicables par analogie au calcul des rentes ordinaires (voir à ce propos ATF 124 V 159), le Conseil fédéral pouvant cependant édicter des prescriptions complémentaires.</w:t>
      </w:r>
    </w:p>
    <w:p>
      <w:r>
        <w:t>A/1701/2010 - 24/26 - Aux termes de l'art. 32 al. 1 du règlement sur l'assurance-invalidité du 17 janvier 1961 (RAI) en corrélation avec les art. 50 du règlement sur l'assurance-vieillesse et survivants du 31 octobre 1947 (RAVS) et 36 al. 2 LAVS dans sa teneur en vigueur jusqu’au 31 décembre 1996, une année de cotisations est entière lorsqu’une personne a été assurée au sens des art. 1er ou 2 LAVS pendant plus de onze mois au total et que les cotisations correspondantes ont été payées. Les femmes mariées, veuves ou divorcées qui étaient exemptées du paiement des cotisations en vertu de l’art. 3 al. 2 let. b et c LAVS ne peuvent prétendre à une rente ordinaire que si elles ont personnellement versé des cotisations à l’AVS/AI pendant une année entière au moins (RCC 1982 p. 117 ; RCC 1981 p. 318 ; RCC 1979 p. 220). Si la durée de cotisations n’est pas continue, les diverses périodes de cotisations sont additionnées. Depuis le 1er janvier 1997, une année de cotisation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Ainsi, à la différence de la situation qui prévalait avant le 1er janvier 1997, date de l'entrée en vigueur de la dixième révision de l'AVS, un assuré peut désormais satisfaire à l'exigence de la période minimale de cotisations même s'il n'a pas payé personnellement des cotisations, par ex. par la prise en compte d'une période éducative (ATF 125 V 253, 126 V 8 consid. 1b). Cette réglementation plus favorable ne s'applique toutefois pas aux cas d'assurance survenus antérieurement à cette date (ATF 126 V 8 et 273 consid. 1b; VSI 2000 p. 174). b) En l’espèce, dès lors que le cas d’assurance est survenu avant le 1er janvier 1997, pour pouvoir prétendre à une rente ordinaire, la recourante doit avoir cotisé personnellement pendant au moins onze mois lors de la survenance de l’invalidité en décembre 1992. A l’examen de l’extrait de ses comptes individuels, la Cour de céans constate qu’elle a cotisé cinq mois en 1990, 12 mois en 1991 et deux mois (juillet et août) en 1992, soit 19 mois au total. Partant, lors de la survenance de l’invalidité, la recourante comptait l’année de cotisation requise par l’art. 36 al. 1 LAI, de sorte qu’elle peut prétendre à une rente d’invalidité ordinaire depuis décembre 1992. 14. La nouvelle demande de prestations ayant été déposée le 21 octobre 2004, il convient encore de statuer sur les prestations arriérées. Selon l’art. 48 al. 2 LAI, en sa teneur en vigueur jusqu’au 31 décembre 2007 (abrogé dès le 1er janvier 2008, entrée en vigueur de la 5ème révision AI), si l’assuré présente sa demande de prestations plus de douze mois après la naissance du droit, les prestations, en dérogation à l’art. 24 al. 1 LPGA, ne sont allouées que pour les douze mois précédant le dépôt de la demande. Elles sont allouées pour une période</w:t>
      </w:r>
    </w:p>
    <w:p>
      <w:r>
        <w:t>A/1701/2010 - 25/26 - antérieure si l’assuré ne pouvait pas connaître les faits donnant droit à prestation et qu’il présente sa demande dans les douze mois dès le moment où il en a eu connaissance. Au vu de la demande tardive, la recourante a droit à une rente entière d’invalidité avec effet rétroactif au mois d’octobre 2003, étant précisé qu’il n’y a pas de motif de restitution de délai au sens de l’art. 48 al. 2ème phrase LAI. 15. Au vu de ce qui précède, le recours, bien fondé, est admis et la décision du 29 mars 2010 annulée. La cause sera renvoyée à l’intimé pour qu’il calcule les prestations dues dès le mois d’octobre 2003. 16. La recourante obtenant gain de cause, elle a droit à une indemnité à titre de participation à ses frais et dépens (art. 61 let. g LPGA). Selon l'art. 6 du règlement sur les frais, émoluments et indemnités en procédure administrative du 30 juillet 1986 (RFPA ; RS E 5 10.03), le juge peut allouer à une partie pour les frais indispensables occasionnés par la procédure, y compris les honoraires éventuels d'un mandataire, une indemnité de 200 fr. à 10'000 fr. En l’occurrence, compte tenu du nombre d’échanges d’écritures, de l’importance et de la pertinence des écritures, de la complexité de l’affaire et du nombre d’audiences et d’actes d’instruction, la Cour de céans fixe le montant des dépens à 4'000 fr. Pour le surplus, étant donné que, depuis le 1er juillet 2006, la procédure n'est plus gratuite (art. 69 al. 1bis LAI), et au vu du sort du recours, il y a lieu de condamner l'intimé au paiement d'un émolument de 1’000 fr.</w:t>
      </w:r>
    </w:p>
    <w:p>
      <w:r>
        <w:t>A/1701/2010 - 26/26 -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