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ATAS/1011/2011 vom 1. November 2011</w:t>
      </w:r>
    </w:p>
    <w:p>
      <w:r>
        <w:t>GE Cour de justice, 2011-11-01, FR</w:t>
      </w:r>
    </w:p>
    <w:p>
      <w:r>
        <w:rPr>
          <w:b/>
        </w:rPr>
        <w:t xml:space="preserve">Quelle: </w:t>
      </w:r>
      <w:r>
        <w:t>https://mcp.opencaselaw.ch/entscheid/ge_gerichte_ATAS_1011_2011</w:t>
      </w:r>
    </w:p>
    <w:p>
      <w:r>
        <w:t>FR: GE_GERICHTE ATAS/1011/2011 du 1 novembre 2011</w:t>
      </w:r>
    </w:p>
    <w:p>
      <w:r>
        <w:t>IT: GE_GERICHTE ATAS/1011/2011 del 1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A/1274/2011 - 13/21 -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du recourant à une rente d’invalidité, plus particulièrement sur son degré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A/1274/2011 - 15/21 - pour remettre en cause les conclusions de l'expert (ATF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consid. 3b/aa). S'agissant du recours à des données statistiques, le Tribunal fédéral a précisé que lors de la détermination du revenu d'invalide, il convient généralement de se fonder sur les salaires mensuels indiqués dans la table de l'Enquête suisse des</w:t>
      </w:r>
    </w:p>
    <w:p>
      <w:r>
        <w:t>A/1274/2011 - 16/21 - salaires TA1, à la ligne "total secteur privé" (ATF 124 V 321, consid. 3b/aa). Quant au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w:t>
      </w:r>
    </w:p>
    <w:p>
      <w:r>
        <w:rPr>
          <w:b/>
        </w:rPr>
        <w:t>E. 8</w:t>
      </w:r>
    </w:p>
    <w:p>
      <w:r>
        <w:t>L’expertise réalisée par les Dresses N________ et O________ satisfait pleinement aux critères dégagés par la jurisprudence. Elle contient en effet une anamnèse détaillée, se fonde sur l’étude du dossier médical du recourant, tient compte de ses plaintes et a été établie après un examen clinique complet. En outre, ses diagnostics sont clairs et ses conclusions sont convaincantes et motivées. Partant, elle doit se voir reconnaître une pleine valeur probante et le grief du recourant, qui allègue que l’expertise n’aurait pas été conduite dans les règles de l'art, sans fournir aucun indice permettant d’étayer cette affirmation, tombe ainsi à faux. Le recourant considère que l'expertise psychiatrique a été trop brève pour se voir reconnaître une valeur probante. On notera que le rapport d’expertise ne spécifie pas la durée des entretiens, durée que le recourant n’indique pas non plus dans ses écritures, de sorte que cette question est difficile à examiner. Quoi qu’il en soit, il ne s'agit pas là du seul élément déterminant pour définir si l'expertise a valeur probante ou non. En effet, le travail de l’expert ne se limite pas à l’entretien mais se poursuit ensuite par l’analyse des propos recueillis et du comportement observé (ATF I 746/05 du 30 mai 2006, consid. 2.3).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De plus, s’il est souhaitable que la durée de l’entretien soit expressément mentionnée dans l’expertise, l’absence de cette indication n’est pas déterminante s’il n’existe aucun indice qui laisse supposer que le rapport d’expertise est lacunaire, ce qui est le cas en l'espèce (ATF 9C_531/2007 du 3 juin 2008, consid. 2.2.4.). Le recourant affirme en outre que les symptômes qu'il présente sont suffisants pour admettre la présence d'un épisode dépressif sévère. Or, contrairement à ce qu'il</w:t>
      </w:r>
    </w:p>
    <w:p>
      <w:r>
        <w:t>A/1274/2011 - 17/21 - allègue, les menaces exprimées lors de l'expertise ne traduisent pas forcément un état d'agitation qui permettrait de conclure à un état dépressif sévère. Le fait qu'il ait déclaré à la Dresse O________ que son épouse lui reprochait son cancer ne peut non plus être assimilé à un sentiment de culpabilité, dès lors qu'il n'a pas indiqué qu'il se sentait responsable de la maladie de sa femme. Quant aux troubles de la concentration, l'experte les a exclus en se fondant sur ses observations, notamment parce que le recourant a été à même de répondre aux questions posées sans délais ou hésitations. Dès lors que les critiques du recourant consistent essentiellement à substituer son appréciation à celle de l'experte sur l'existence de symptômes dépressifs, elles ne suffisent pas à remettre en cause les conclusions de celle-ci. Le recourant entend encore tirer argument du fait qu'un rapport de l'experte psychiatre du BREM a été remis en cause lors d'une expertise judiciaire dans une procédure pendante devant la Cour de céans. Cependant, quelles qu'aient été les divergences entre l'expert judiciaire et la Dresse O________ dans cette procédure, elles concernent une affaire sans lien avec le recourant et ne suffisent pas à conclure que toutes les expertises réalisées par cette psychiatre ne peuvent se voir reconnaître une quelconque valeur probante. Le recourant se réfère en outre à un arrêt du Tribunal fédéral du 28 juin 2011 (ATF 137 V 210), dans lequel notre Haute Cour s'est penchée sur les principes régissant les missions d'expertises confiées aux centres d'observation médicale de l'assurance-invalidité (COMAI). Il souligne qu'on ignore si les nouveaux critères dégagés par cette jurisprudence ont été respectés en l'espèce, de sorte qu'une nouvelle expertise doit être ordonnée. Cet argument tombe cependant à faux. Cet arrêt a certes amené des modifications en matière d'examens médicaux, mais il y a lieu de souligner que les changements ne concernent pas tant les expertises en tant que telles que les modalités de leur mise en œuvre afin de garantir l'égalité des armes entre autorités et assurés. Le Tribunal fédéral a ainsi modifié sa jurisprudence en ce sens qu'une expertise ordonnée par l'administration doit faire l'objet d'une décision incidente susceptible de recours, et que les droits de participation de l'assuré sont renforcés (consid. 3.4.2.6 et 3.4.2.9 de l'arrêt précité). En revanche, il a expressément relevé que l'application aux cas en cours d'instruction des nouveaux principes jurisprudentiels n'implique pas que les expertises ordonnées selon l'ancienne procédure ne peuvent se voir reconnaître de valeur probante. Au contraire, il convient en fonction des spécificités du cas et des griefs soulevés de déterminer s'il est conforme au droit de se fonder sur les moyens de preuve à disposition (consid. 6). Tel est le cas en l'espèce, comme cela ressort des considérants qui précèdent. Quant aux hospitalisations du recourant au Service de psychiatrie, la Cour de céans retient ce qui suit. La première hospitalisation fait suite à une décompensation des troubles liées au décès du père du recourant, comme en attestent les rapports des Drs R________ et S________ et de la Dresse G_________. Elle a de plus duré</w:t>
      </w:r>
    </w:p>
    <w:p>
      <w:r>
        <w:t>A/1274/2011 - 18/21 - moins d’un mois, avec une évolution favorable dès la mi-mars, de sorte qu’elle ne suffit pas à démontrer une aggravation durable de son état de santé. S’agissant du second séjour en service psychiatrique du recourant, il est postérieur à la décision attaquée. Or,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Partant, à supposer que cette deuxième hospitalisation soit la conséquence d’une dégradation durable de son état de santé – ce qui n’est pas démontré, puisque les symptômes présentés se sont rapidement amendés après la modification du traitement médicamenteux, ses conséquences n’ont pas à être examinées dans le cadre du présent recours. L’argument du recourant, selon lequel il serait impossible de passer d’un état dépressif léger à l’état dans lequel il se trouvait au moment de ses hospitalisations, est une affirmation qui ne repose sur aucun fondement médical, que la rapidité de la disparition des symptômes présents lors de ses hospitalisations permet en outre d’infirmer. En ce qui concerne le rapport de la Dresse G_________, comme on l’a vu, la décompensation des troubles du recourant est réactionnelle au récent décès de son père. Cet événement ne permet nullement de conclure que ces troubles étaient décompensés auparavant et qu’ils entraînaient une incapacité de travail que l’experte aurait sous-estimée. Pour le surplus, la psychiatre se contente de remettre en cause l'appréciation de la gravité des troubles psychiques du recourant sans avancer d’argument pertinent en ce sens et sans faire état de diagnostics que l'experte aurait ignorés. Il ne suffit ainsi pas à mettre en doute les conclusions de la Dresse O________. On ajoutera que dans la mesure où la Dresse G_________ a eu l'occasion de se déterminer sur l'état de santé du recourant dans le rapport qu'elle a établi à la demande de la mandataire de ce dernier, il s'avère superflu de procéder à son audition, par appréciation anticipée des preuves. Compte tenu de ce qui précède, il n’y a pas lieu de s’écarter des conclusions des expertes, que le SMR ne remet d'ailleurs pas formellement en cause. A cet égard, on notera que l’avis de la Dresse H_________ du 26 novembre 2010 semble résulter d'une erreur de lecture en tenant compte d’une capacité de travail avec un plein rendement dès la fin du mois de janvier 2009 et un rendement réduit à 80 % dès le mois de mars 2009, puisque les Dresses N________ et O________ont admis une diminution de rendement de 20 % dès le mois d’octobre 2008 et une capacité de travail temporairement limitée à 50 % de mi-janvier à fin mars 2009.</w:t>
      </w:r>
    </w:p>
    <w:p>
      <w:r>
        <w:rPr>
          <w:b/>
        </w:rPr>
        <w:t>E. 9</w:t>
      </w:r>
    </w:p>
    <w:p>
      <w:r>
        <w:t>Il convient encore d’examiner le calcul du degré d’invalidité auquel a procédé l’intimé, en retenant une diminution de rendement de 20 % dès le mois d’octobre 2008.</w:t>
      </w:r>
    </w:p>
    <w:p>
      <w:r>
        <w:t>A/1274/2011 - 19/21 - Le revenu sans invalidité retenu par l’intimé dans son rapport du 25 janvier 2011 est erroné. On notera en effet qu’en 2003, dernière année complète d’activité du recourant à prendre en compte pour le calcul du degré d'invalidité, son revenu s’est élevé non pas à 64'210 fr. 60 mais à 70'212 fr. 60, compte tenu de l’indemnité pour les vacances de 6'002 fr. versée directement par la Caisse vacances du bâtiment. C’est d’ailleurs bien un montant de 70'212 fr. 60 qu’a retenu l’intimé dans le premier calcul du degré d’invalidité auquel il a procédé en mai 2007. Indexé jusqu’en 2009, année de début du droit à la rente, le revenu sans invalidité est ainsi de 76'616 fr. S’agissant des indemnités de subsistance dont le recourant se prévaut, on rappellera que conformément à l'art. 9 al. 2 du règlement sur l'assurance- vieillesse et survivants du 31 octobre 1947 (RAVS ; RS 831.101), les indemnités accordées régulièrement pour le déplacement du domicile au lieu de travail habituel et pour les repas courants pris au domicile ou au lieu de travail habituel; ces indemnités font en principe partie du salaire déterminant. Partant, elles sont incluses dans le revenu figurant dans le compte individuel du recourant, qui a été pris en compte pour la détermination du salaire sans invalidité. Quant au revenu sans invalidité, le recours au revenu statistique tiré d’une activité simple et répétitive selon l’ESS 2008, soit 4'806 fr. pour 40 heures hebdomadaires, est conforme à la jurisprudence. Après indexation sur la base de l’Indice suisse des salaires (2.1 % pour les hommes en 2009) et calculé sur la durée hebdomadaire moyenne de travail de 41.6 heures en 2009 selon la Statistique sur la durée normale du travail dans les entreprises (DNT) établie par l’OFFICE FEDERAL DE LA STATISTIQUE, on obtient un revenu de 61'238 fr. à 100 %, soit 48'991 fr. en tenant compte de la diminution de rendement de 20 %. Après réduction statistique de 10 %, le revenu d’invalide est de 44'092 fr., ce qui aboutit à un degré d’invalidité de 42 %. S’agissant de l’abattement auquel l’intimé a procédé sur ce revenu, la Cour de céans relève qu’il est inférieur aux 15 % dont l’intimé avait tenu compte dans son calcul de mai 2007. A cet égard, il faut rappeler que conformément à l'art. 61 al. 1 let. a de la loi sur la procédure administrative (LPA; RSG E 5 10), seul l'abus ou l'excès du pouvoir d'appréciation peut être revu par la Cour de céans. Il y a notamment excès de pouvoir d'appréciation négatif lorsque l'autorité renonce à faire usage de son pouvoir d'appréciation (ATF 116 V 307, consid. 2). On peut se demander si l'intimé, en n'appliquant pas la même réduction de 15 % que dans son calcul de 2007, n'a pas commis un excès de pouvoir d'appréciation. A titre d'exemple, le Tribunal fédéral a considéré qu'une réduction de 15 % était adéquate dans le cas d'un assuré ne pouvant plus travailler qu'à 60 % dans des activités légères (ATF I 147/05 du 25 juillet 2005, consid. 2.7). Partant, un abattement de</w:t>
      </w:r>
    </w:p>
    <w:p>
      <w:r>
        <w:rPr>
          <w:b/>
        </w:rPr>
        <w:t>E. 10</w:t>
      </w:r>
    </w:p>
    <w:p>
      <w:r>
        <w:t>Conformément à ce qui précède, il y a lieu d’admettre que l’aggravation de l’état de santé du recourant dès octobre 2008 entraîne un degré d’invalidité de 42 %. Partant, le recourant a droit à un quart de rente dès l’issue du délai de carence d’une année, soit dès le mois d’octobre 2009. Le recours sera donc partiellement admis. Le recourant, qui obtient partiellement gain de cause, a droit à une indemnité de dépens qu’il convient de fixer à 2'000 fr. (art. 61 let. g LPGA). La procédure en matière d’assurance-invalidité n’étant pas gratuite (art. 69 al. 1bis LAI), il y a lieu de condamner l’intimé au paiement d'un émolument de 500 fr.</w:t>
      </w:r>
    </w:p>
    <w:p>
      <w:r>
        <w:t>A/1274/2011 - 21/21 -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